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bookmarkStart w:id="0" w:name="_GoBack"/>
            <w:bookmarkEnd w:id="0"/>
            <w:r>
              <w:rPr>
                <w:rtl/>
              </w:rPr>
              <w:t xml:space="preserve"> </w:t>
            </w: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2</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אריאל ממן</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702DF9" w:rsidRDefault="006D2223">
                <w:pPr>
                  <w:suppressLineNumbers/>
                  <w:rPr>
                    <w:rFonts w:ascii="Arial" w:hAnsi="Arial"/>
                    <w:b/>
                    <w:bCs/>
                    <w:noProof w:val="0"/>
                    <w:sz w:val="26"/>
                    <w:szCs w:val="26"/>
                    <w:rtl/>
                  </w:rPr>
                </w:pPr>
                <w:r>
                  <w:rPr>
                    <w:rFonts w:ascii="Arial" w:hAnsi="Arial" w:hint="cs"/>
                    <w:b/>
                    <w:bCs/>
                    <w:noProof w:val="0"/>
                    <w:sz w:val="26"/>
                    <w:szCs w:val="26"/>
                    <w:rtl/>
                  </w:rPr>
                  <w:t>ה</w:t>
                </w:r>
                <w:r w:rsidR="00250FE8">
                  <w:rPr>
                    <w:rFonts w:ascii="Arial" w:hAnsi="Arial"/>
                    <w:b/>
                    <w:bCs/>
                    <w:noProof w:val="0"/>
                    <w:sz w:val="26"/>
                    <w:szCs w:val="26"/>
                    <w:rtl/>
                  </w:rPr>
                  <w:t>מבקשים</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5F10A9" w:rsidP="005B2C87">
            <w:pPr>
              <w:suppressLineNumbers/>
              <w:rPr>
                <w:rFonts w:ascii="Arial" w:hAnsi="Arial"/>
                <w:b/>
                <w:bCs/>
                <w:noProof w:val="0"/>
                <w:sz w:val="26"/>
                <w:szCs w:val="26"/>
                <w:rtl/>
              </w:rPr>
            </w:pPr>
            <w:sdt>
              <w:sdtPr>
                <w:rPr>
                  <w:rFonts w:ascii="Arial" w:hAnsi="Arial"/>
                  <w:b/>
                  <w:bCs/>
                  <w:noProof w:val="0"/>
                  <w:sz w:val="26"/>
                  <w:szCs w:val="26"/>
                  <w:rtl/>
                </w:rPr>
                <w:alias w:val="1478"/>
                <w:tag w:val="1478"/>
                <w:id w:val="-2076122985"/>
                <w:text w:multiLine="1"/>
              </w:sdtPr>
              <w:sdtEndPr/>
              <w:sdtContent>
                <w:r w:rsidR="006D2223">
                  <w:rPr>
                    <w:rFonts w:ascii="Arial" w:hAnsi="Arial" w:hint="cs"/>
                    <w:b/>
                    <w:bCs/>
                    <w:noProof w:val="0"/>
                    <w:sz w:val="26"/>
                    <w:szCs w:val="26"/>
                    <w:rtl/>
                  </w:rPr>
                  <w:t xml:space="preserve">1. </w:t>
                </w:r>
                <w:r w:rsidR="005B2C87">
                  <w:rPr>
                    <w:rFonts w:ascii="Arial" w:hAnsi="Arial" w:hint="cs"/>
                    <w:b/>
                    <w:bCs/>
                    <w:noProof w:val="0"/>
                    <w:sz w:val="26"/>
                    <w:szCs w:val="26"/>
                    <w:rtl/>
                  </w:rPr>
                  <w:t>א. מ. א.</w:t>
                </w:r>
              </w:sdtContent>
            </w:sdt>
            <w:r w:rsidR="00E54CD9" w:rsidRPr="00E54CD9">
              <w:rPr>
                <w:rFonts w:ascii="Arial" w:hAnsi="Arial" w:hint="cs"/>
                <w:b/>
                <w:bCs/>
                <w:noProof w:val="0"/>
                <w:sz w:val="26"/>
                <w:szCs w:val="26"/>
                <w:rtl/>
              </w:rPr>
              <w:t xml:space="preserve"> </w:t>
            </w:r>
          </w:p>
          <w:p w:rsidR="006D2223" w:rsidRDefault="006D2223" w:rsidP="005B2C87">
            <w:pPr>
              <w:suppressLineNumbers/>
              <w:rPr>
                <w:rFonts w:ascii="Arial" w:hAnsi="Arial"/>
                <w:b/>
                <w:bCs/>
                <w:noProof w:val="0"/>
                <w:sz w:val="26"/>
                <w:szCs w:val="26"/>
                <w:rtl/>
              </w:rPr>
            </w:pPr>
            <w:r>
              <w:rPr>
                <w:rFonts w:hint="cs"/>
                <w:b/>
                <w:bCs/>
                <w:noProof w:val="0"/>
                <w:sz w:val="26"/>
                <w:szCs w:val="26"/>
                <w:rtl/>
              </w:rPr>
              <w:t xml:space="preserve">2. </w:t>
            </w:r>
            <w:sdt>
              <w:sdtPr>
                <w:rPr>
                  <w:rtl/>
                </w:rPr>
                <w:alias w:val="1486"/>
                <w:tag w:val="1486"/>
                <w:id w:val="1620874446"/>
                <w:text w:multiLine="1"/>
              </w:sdtPr>
              <w:sdtEndPr/>
              <w:sdtContent>
                <w:r w:rsidR="005B2C87">
                  <w:rPr>
                    <w:rFonts w:ascii="Arial" w:hAnsi="Arial"/>
                    <w:b/>
                    <w:bCs/>
                    <w:noProof w:val="0"/>
                    <w:sz w:val="26"/>
                    <w:szCs w:val="26"/>
                    <w:rtl/>
                  </w:rPr>
                  <w:t>ד</w:t>
                </w:r>
                <w:r w:rsidR="005B2C87">
                  <w:rPr>
                    <w:rFonts w:ascii="Arial" w:hAnsi="Arial" w:hint="cs"/>
                    <w:b/>
                    <w:bCs/>
                    <w:noProof w:val="0"/>
                    <w:sz w:val="26"/>
                    <w:szCs w:val="26"/>
                    <w:rtl/>
                  </w:rPr>
                  <w:t>.</w:t>
                </w:r>
                <w:r w:rsidR="005B2C87">
                  <w:rPr>
                    <w:rFonts w:ascii="Arial" w:hAnsi="Arial"/>
                    <w:b/>
                    <w:bCs/>
                    <w:noProof w:val="0"/>
                    <w:sz w:val="26"/>
                    <w:szCs w:val="26"/>
                    <w:rtl/>
                  </w:rPr>
                  <w:t xml:space="preserve"> א</w:t>
                </w:r>
                <w:r w:rsidR="005B2C87">
                  <w:rPr>
                    <w:rFonts w:ascii="Arial" w:hAnsi="Arial" w:hint="cs"/>
                    <w:b/>
                    <w:bCs/>
                    <w:noProof w:val="0"/>
                    <w:sz w:val="26"/>
                    <w:szCs w:val="26"/>
                    <w:rtl/>
                  </w:rPr>
                  <w:t>.</w:t>
                </w:r>
              </w:sdtContent>
            </w:sdt>
            <w:r>
              <w:rPr>
                <w:rtl/>
              </w:rPr>
              <w:t xml:space="preserve"> </w:t>
            </w:r>
          </w:p>
          <w:p w:rsidR="008037E9" w:rsidRDefault="008037E9" w:rsidP="00897DAF">
            <w:pPr>
              <w:suppressLineNumbers/>
              <w:rPr>
                <w:b/>
                <w:bCs/>
                <w:noProof w:val="0"/>
                <w:sz w:val="26"/>
                <w:szCs w:val="26"/>
              </w:rPr>
            </w:pPr>
            <w:r>
              <w:rPr>
                <w:rFonts w:hint="cs"/>
                <w:b/>
                <w:bCs/>
                <w:noProof w:val="0"/>
                <w:sz w:val="26"/>
                <w:szCs w:val="26"/>
                <w:rtl/>
              </w:rPr>
              <w:t>ע"י ב"כ עו"ד אלדד אופק</w:t>
            </w:r>
          </w:p>
        </w:tc>
      </w:tr>
      <w:tr w:rsidR="0094424E">
        <w:trPr>
          <w:jc w:val="center"/>
        </w:trPr>
        <w:tc>
          <w:tcPr>
            <w:tcW w:w="8820" w:type="dxa"/>
            <w:gridSpan w:val="4"/>
          </w:tcPr>
          <w:p w:rsidR="0094424E" w:rsidRPr="005B2C87"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5F10A9" w:rsidP="00D44968">
            <w:pPr>
              <w:suppressLineNumbers/>
              <w:rPr>
                <w:rFonts w:ascii="Arial" w:hAnsi="Arial"/>
                <w:b/>
                <w:bCs/>
                <w:noProof w:val="0"/>
                <w:sz w:val="26"/>
                <w:szCs w:val="26"/>
              </w:rPr>
            </w:pPr>
            <w:sdt>
              <w:sdtPr>
                <w:rPr>
                  <w:rtl/>
                </w:rPr>
                <w:alias w:val="1184"/>
                <w:tag w:val="1184"/>
                <w:id w:val="-340621022"/>
                <w:text w:multiLine="1"/>
              </w:sdtPr>
              <w:sdtEndPr/>
              <w:sdtContent>
                <w:r w:rsidR="006D2223">
                  <w:rPr>
                    <w:rFonts w:ascii="Arial" w:hAnsi="Arial" w:hint="cs"/>
                    <w:b/>
                    <w:bCs/>
                    <w:noProof w:val="0"/>
                    <w:sz w:val="26"/>
                    <w:szCs w:val="26"/>
                    <w:rtl/>
                  </w:rPr>
                  <w:t>ה</w:t>
                </w:r>
                <w:r w:rsidR="006D2223">
                  <w:rPr>
                    <w:rFonts w:ascii="Arial" w:hAnsi="Arial"/>
                    <w:b/>
                    <w:bCs/>
                    <w:noProof w:val="0"/>
                    <w:sz w:val="26"/>
                    <w:szCs w:val="26"/>
                    <w:rtl/>
                  </w:rPr>
                  <w:t>משיב</w:t>
                </w:r>
              </w:sdtContent>
            </w:sdt>
          </w:p>
        </w:tc>
        <w:tc>
          <w:tcPr>
            <w:tcW w:w="5571" w:type="dxa"/>
            <w:gridSpan w:val="2"/>
          </w:tcPr>
          <w:p w:rsidR="0094424E" w:rsidRDefault="005F10A9" w:rsidP="005B2C87">
            <w:pPr>
              <w:suppressLineNumbers/>
              <w:rPr>
                <w:rFonts w:ascii="Arial" w:hAnsi="Arial"/>
                <w:b/>
                <w:bCs/>
                <w:noProof w:val="0"/>
                <w:sz w:val="26"/>
                <w:szCs w:val="26"/>
                <w:rtl/>
              </w:rPr>
            </w:pPr>
            <w:sdt>
              <w:sdtPr>
                <w:rPr>
                  <w:rtl/>
                </w:rPr>
                <w:alias w:val="1486"/>
                <w:tag w:val="1486"/>
                <w:id w:val="-309872140"/>
                <w:text w:multiLine="1"/>
              </w:sdtPr>
              <w:sdtEndPr/>
              <w:sdtContent>
                <w:r w:rsidR="005B2C87">
                  <w:rPr>
                    <w:rFonts w:ascii="Arial" w:hAnsi="Arial"/>
                    <w:b/>
                    <w:bCs/>
                    <w:noProof w:val="0"/>
                    <w:sz w:val="26"/>
                    <w:szCs w:val="26"/>
                    <w:rtl/>
                  </w:rPr>
                  <w:t>ר</w:t>
                </w:r>
                <w:r w:rsidR="005B2C87">
                  <w:rPr>
                    <w:rFonts w:ascii="Arial" w:hAnsi="Arial" w:hint="cs"/>
                    <w:b/>
                    <w:bCs/>
                    <w:noProof w:val="0"/>
                    <w:sz w:val="26"/>
                    <w:szCs w:val="26"/>
                    <w:rtl/>
                  </w:rPr>
                  <w:t>.</w:t>
                </w:r>
                <w:r w:rsidR="005B2C87">
                  <w:rPr>
                    <w:rFonts w:ascii="Arial" w:hAnsi="Arial"/>
                    <w:b/>
                    <w:bCs/>
                    <w:noProof w:val="0"/>
                    <w:sz w:val="26"/>
                    <w:szCs w:val="26"/>
                    <w:rtl/>
                  </w:rPr>
                  <w:t xml:space="preserve"> ב</w:t>
                </w:r>
                <w:r w:rsidR="005B2C87">
                  <w:rPr>
                    <w:rFonts w:ascii="Arial" w:hAnsi="Arial" w:hint="cs"/>
                    <w:b/>
                    <w:bCs/>
                    <w:noProof w:val="0"/>
                    <w:sz w:val="26"/>
                    <w:szCs w:val="26"/>
                    <w:rtl/>
                  </w:rPr>
                  <w:t>.</w:t>
                </w:r>
              </w:sdtContent>
            </w:sdt>
            <w:r w:rsidR="00E54CD9">
              <w:rPr>
                <w:rFonts w:hint="cs"/>
                <w:rtl/>
              </w:rPr>
              <w:t xml:space="preserve"> </w:t>
            </w:r>
          </w:p>
          <w:p w:rsidR="008037E9" w:rsidRPr="00E54CD9" w:rsidRDefault="008037E9" w:rsidP="006D2223">
            <w:pPr>
              <w:suppressLineNumbers/>
              <w:rPr>
                <w:rFonts w:ascii="Arial" w:hAnsi="Arial"/>
                <w:b/>
                <w:bCs/>
                <w:noProof w:val="0"/>
                <w:sz w:val="26"/>
                <w:szCs w:val="26"/>
                <w:rtl/>
              </w:rPr>
            </w:pPr>
            <w:r>
              <w:rPr>
                <w:rFonts w:ascii="Arial" w:hAnsi="Arial" w:hint="cs"/>
                <w:b/>
                <w:bCs/>
                <w:noProof w:val="0"/>
                <w:sz w:val="26"/>
                <w:szCs w:val="26"/>
                <w:rtl/>
              </w:rPr>
              <w:t>ע"י ב"כ עו"ד ענת נוי פרי</w:t>
            </w:r>
          </w:p>
          <w:p w:rsidR="0094424E" w:rsidRPr="00E54CD9" w:rsidRDefault="0094424E" w:rsidP="006D2223">
            <w:pPr>
              <w:suppressLineNumbers/>
              <w:rPr>
                <w:rFonts w:ascii="Arial" w:hAnsi="Arial"/>
                <w:b/>
                <w:bCs/>
                <w:noProof w:val="0"/>
                <w:sz w:val="26"/>
                <w:szCs w:val="26"/>
                <w:rtl/>
              </w:rPr>
            </w:pPr>
          </w:p>
        </w:tc>
      </w:tr>
    </w:tbl>
    <w:p w:rsidR="0094424E" w:rsidRDefault="0094424E" w:rsidP="00D44968">
      <w:pPr>
        <w:suppressLineNumbers/>
        <w:rPr>
          <w:rtl/>
        </w:rPr>
      </w:pPr>
    </w:p>
    <w:p w:rsidR="006D2223" w:rsidRDefault="006D2223"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E0396B" w:rsidRDefault="00E0396B" w:rsidP="00E0396B">
      <w:pPr>
        <w:spacing w:line="360" w:lineRule="auto"/>
        <w:jc w:val="both"/>
        <w:rPr>
          <w:b/>
          <w:bCs/>
          <w:noProof w:val="0"/>
        </w:rPr>
      </w:pPr>
      <w:bookmarkStart w:id="1" w:name="NGCSBookmark"/>
      <w:bookmarkEnd w:id="1"/>
      <w:r>
        <w:rPr>
          <w:b/>
          <w:bCs/>
          <w:rtl/>
        </w:rPr>
        <w:t>עניינה של החלטה זו הוא עתירת המבקשים לסילוק התביעה שבכותרת על הסף;</w:t>
      </w:r>
    </w:p>
    <w:p w:rsidR="00E0396B" w:rsidRDefault="00E0396B" w:rsidP="00E0396B">
      <w:pPr>
        <w:spacing w:line="360" w:lineRule="auto"/>
        <w:jc w:val="both"/>
        <w:rPr>
          <w:rFonts w:ascii="Arial" w:hAnsi="Arial"/>
          <w:b/>
          <w:bCs/>
          <w:noProof w:val="0"/>
          <w:u w:val="single"/>
        </w:rPr>
      </w:pPr>
    </w:p>
    <w:p w:rsidR="00E0396B" w:rsidRDefault="00E0396B" w:rsidP="00E0396B">
      <w:pPr>
        <w:spacing w:line="360" w:lineRule="auto"/>
        <w:jc w:val="both"/>
        <w:rPr>
          <w:rFonts w:ascii="Arial" w:hAnsi="Arial"/>
          <w:b/>
          <w:bCs/>
          <w:noProof w:val="0"/>
          <w:u w:val="single"/>
        </w:rPr>
      </w:pPr>
      <w:r>
        <w:rPr>
          <w:rFonts w:ascii="Arial" w:hAnsi="Arial"/>
          <w:b/>
          <w:bCs/>
          <w:noProof w:val="0"/>
          <w:u w:val="single"/>
          <w:rtl/>
        </w:rPr>
        <w:t>רקע כללי</w:t>
      </w:r>
    </w:p>
    <w:p w:rsidR="00E0396B" w:rsidRDefault="00E0396B" w:rsidP="00E0396B">
      <w:pPr>
        <w:spacing w:line="360" w:lineRule="auto"/>
        <w:jc w:val="both"/>
        <w:rPr>
          <w:rFonts w:ascii="Arial" w:hAnsi="Arial"/>
          <w:b/>
          <w:bCs/>
          <w:noProof w:val="0"/>
          <w:u w:val="single"/>
          <w:rtl/>
        </w:rPr>
      </w:pPr>
    </w:p>
    <w:p w:rsidR="00E0396B" w:rsidRDefault="00E0396B" w:rsidP="00E0396B">
      <w:pPr>
        <w:pStyle w:val="ad"/>
        <w:numPr>
          <w:ilvl w:val="0"/>
          <w:numId w:val="3"/>
        </w:numPr>
        <w:spacing w:line="360" w:lineRule="auto"/>
        <w:jc w:val="both"/>
        <w:rPr>
          <w:rFonts w:ascii="Arial" w:hAnsi="Arial"/>
          <w:noProof w:val="0"/>
        </w:rPr>
      </w:pPr>
      <w:r>
        <w:rPr>
          <w:rFonts w:ascii="Arial" w:hAnsi="Arial"/>
          <w:noProof w:val="0"/>
          <w:rtl/>
        </w:rPr>
        <w:t xml:space="preserve">המשיב (הוא התובע בתובענה שמספרה בכותרת) הינו אחיה של המבקשת 1 והמבקש 2 הוא בעלה של המבקשת 1 ואשר לטענת המשיב, מי שבחשבונו ככל הנראה ולפי דבריה של המבקשת 1, הופקדו כספים שנטלה המבקשת 1 שלא כדין מחשבונות הוריה ז"ל ומשכך הגיש המשיב כנגדם תביעה כספית, להשבת כספים שניטלו שלא כדין, ע"ס 500,000 ₪. </w:t>
      </w:r>
    </w:p>
    <w:p w:rsidR="00E0396B" w:rsidRDefault="00E0396B" w:rsidP="00E0396B">
      <w:pPr>
        <w:pStyle w:val="ad"/>
        <w:spacing w:line="360" w:lineRule="auto"/>
        <w:jc w:val="both"/>
        <w:rPr>
          <w:rFonts w:ascii="Arial" w:hAnsi="Arial"/>
          <w:noProof w:val="0"/>
          <w:rtl/>
        </w:rPr>
      </w:pPr>
      <w:r>
        <w:rPr>
          <w:rFonts w:ascii="Arial" w:hAnsi="Arial"/>
          <w:noProof w:val="0"/>
          <w:rtl/>
        </w:rPr>
        <w:t>המשיב הדגיש, כי המבקש 2 הינו בעל דין דרוש בתובענה.</w:t>
      </w:r>
    </w:p>
    <w:p w:rsidR="00E0396B" w:rsidRDefault="00E0396B" w:rsidP="00E0396B">
      <w:pPr>
        <w:spacing w:line="360" w:lineRule="auto"/>
        <w:jc w:val="both"/>
        <w:rPr>
          <w:rFonts w:ascii="Arial" w:hAnsi="Arial"/>
          <w:noProof w:val="0"/>
        </w:rPr>
      </w:pPr>
    </w:p>
    <w:p w:rsidR="00E0396B" w:rsidRDefault="00E0396B" w:rsidP="0048306A">
      <w:pPr>
        <w:pStyle w:val="ad"/>
        <w:numPr>
          <w:ilvl w:val="0"/>
          <w:numId w:val="3"/>
        </w:numPr>
        <w:spacing w:line="360" w:lineRule="auto"/>
        <w:jc w:val="both"/>
        <w:rPr>
          <w:rFonts w:ascii="Arial" w:hAnsi="Arial"/>
          <w:noProof w:val="0"/>
          <w:rtl/>
        </w:rPr>
      </w:pPr>
      <w:r>
        <w:rPr>
          <w:rFonts w:ascii="Arial" w:hAnsi="Arial"/>
          <w:noProof w:val="0"/>
          <w:rtl/>
        </w:rPr>
        <w:t>אב</w:t>
      </w:r>
      <w:r w:rsidR="005B2C87">
        <w:rPr>
          <w:rFonts w:ascii="Arial" w:hAnsi="Arial"/>
          <w:noProof w:val="0"/>
          <w:rtl/>
        </w:rPr>
        <w:t>יהם של המבקשת 1 והמשיב, מ</w:t>
      </w:r>
      <w:r w:rsidR="005B2C87">
        <w:rPr>
          <w:rFonts w:ascii="Arial" w:hAnsi="Arial" w:hint="cs"/>
          <w:noProof w:val="0"/>
          <w:rtl/>
        </w:rPr>
        <w:t>. ב.</w:t>
      </w:r>
      <w:r>
        <w:rPr>
          <w:rFonts w:ascii="Arial" w:hAnsi="Arial"/>
          <w:noProof w:val="0"/>
          <w:rtl/>
        </w:rPr>
        <w:t xml:space="preserve"> </w:t>
      </w:r>
      <w:r w:rsidR="0048306A">
        <w:rPr>
          <w:rFonts w:ascii="Arial" w:hAnsi="Arial" w:hint="cs"/>
          <w:noProof w:val="0"/>
          <w:rtl/>
        </w:rPr>
        <w:t xml:space="preserve">ז"ל, </w:t>
      </w:r>
      <w:r>
        <w:rPr>
          <w:rFonts w:ascii="Arial" w:hAnsi="Arial"/>
          <w:noProof w:val="0"/>
          <w:rtl/>
        </w:rPr>
        <w:t>נפטר ביום 1</w:t>
      </w:r>
      <w:r w:rsidR="005B2C87">
        <w:rPr>
          <w:rFonts w:ascii="Arial" w:hAnsi="Arial"/>
          <w:noProof w:val="0"/>
          <w:rtl/>
        </w:rPr>
        <w:t>.5.2013 ואמם, המנוחה א</w:t>
      </w:r>
      <w:r w:rsidR="005B2C87">
        <w:rPr>
          <w:rFonts w:ascii="Arial" w:hAnsi="Arial" w:hint="cs"/>
          <w:noProof w:val="0"/>
          <w:rtl/>
        </w:rPr>
        <w:t>. ב.</w:t>
      </w:r>
      <w:r>
        <w:rPr>
          <w:rFonts w:ascii="Arial" w:hAnsi="Arial"/>
          <w:noProof w:val="0"/>
          <w:rtl/>
        </w:rPr>
        <w:t xml:space="preserve"> ז"ל נפטרה ביום 14.1.2020. למנוחים נולדו 4 ילדים (3 בנות – ביניהן המבקשת  1 ובן – שהוא המשיב). המנוח עבד במפעלי ים המלח בתפקיד מסגר והשתכר ברמות שכר גבוהות יחסית וגם כשפרש לגמלאות, קיבל, על פי הנטען, מענק פרישה בסך 1.5 מיליון ₪. המנוחה הייתה עקרת בית וגידלה את ארבעת ילדיה במסירות.</w:t>
      </w:r>
    </w:p>
    <w:p w:rsidR="00E0396B" w:rsidRDefault="00E0396B" w:rsidP="00E0396B">
      <w:pPr>
        <w:spacing w:line="360" w:lineRule="auto"/>
        <w:jc w:val="both"/>
        <w:rPr>
          <w:rFonts w:ascii="Arial" w:hAnsi="Arial"/>
          <w:noProof w:val="0"/>
          <w:rtl/>
        </w:rPr>
      </w:pPr>
    </w:p>
    <w:p w:rsidR="00E0396B" w:rsidRDefault="00E0396B" w:rsidP="00E0396B">
      <w:pPr>
        <w:pStyle w:val="ad"/>
        <w:numPr>
          <w:ilvl w:val="0"/>
          <w:numId w:val="3"/>
        </w:numPr>
        <w:spacing w:line="360" w:lineRule="auto"/>
        <w:jc w:val="both"/>
        <w:rPr>
          <w:rFonts w:ascii="Arial" w:hAnsi="Arial"/>
          <w:noProof w:val="0"/>
          <w:rtl/>
        </w:rPr>
      </w:pPr>
      <w:r>
        <w:rPr>
          <w:rFonts w:ascii="Arial" w:hAnsi="Arial"/>
          <w:noProof w:val="0"/>
          <w:rtl/>
        </w:rPr>
        <w:t xml:space="preserve">המשיב טען בתביעתו, כי לאור העובדה שמעולם לא נישא ולא הקים חיי משפחה, החליטו הוריו להוריש לו את כל רכושם, מכל מין וסוג שהוא וצירף לתביעתו העתקי צוואות וצווי קיום צוואות והוסיף, כי מלבד הירושה, הוריו אף חסכו עבורו סך של 400,000 ₪. </w:t>
      </w:r>
    </w:p>
    <w:p w:rsidR="00E0396B" w:rsidRDefault="00E0396B" w:rsidP="00E0396B">
      <w:pPr>
        <w:spacing w:line="360" w:lineRule="auto"/>
        <w:jc w:val="both"/>
        <w:rPr>
          <w:rFonts w:ascii="Arial" w:hAnsi="Arial"/>
          <w:noProof w:val="0"/>
          <w:rtl/>
        </w:rPr>
      </w:pPr>
    </w:p>
    <w:p w:rsidR="00E0396B" w:rsidRDefault="00E0396B" w:rsidP="0048306A">
      <w:pPr>
        <w:pStyle w:val="ad"/>
        <w:numPr>
          <w:ilvl w:val="0"/>
          <w:numId w:val="3"/>
        </w:numPr>
        <w:spacing w:line="360" w:lineRule="auto"/>
        <w:jc w:val="both"/>
        <w:rPr>
          <w:rFonts w:ascii="Arial" w:hAnsi="Arial"/>
          <w:noProof w:val="0"/>
          <w:rtl/>
        </w:rPr>
      </w:pPr>
      <w:r>
        <w:rPr>
          <w:rFonts w:ascii="Arial" w:hAnsi="Arial"/>
          <w:noProof w:val="0"/>
          <w:rtl/>
        </w:rPr>
        <w:lastRenderedPageBreak/>
        <w:t>בתחילה, לאחר שהחלה התדרדרות במצבו הרפואי של אב המשפחה, הסתייעו ההורים בניהול עני</w:t>
      </w:r>
      <w:r w:rsidR="005B2C87">
        <w:rPr>
          <w:rFonts w:ascii="Arial" w:hAnsi="Arial"/>
          <w:noProof w:val="0"/>
          <w:rtl/>
        </w:rPr>
        <w:t xml:space="preserve">יניהם הכספיים בבתם הקטנה </w:t>
      </w:r>
      <w:r w:rsidR="005B2C87">
        <w:rPr>
          <w:rFonts w:ascii="Arial" w:hAnsi="Arial" w:hint="cs"/>
          <w:noProof w:val="0"/>
          <w:rtl/>
        </w:rPr>
        <w:t>י'</w:t>
      </w:r>
      <w:r>
        <w:rPr>
          <w:rFonts w:ascii="Arial" w:hAnsi="Arial"/>
          <w:noProof w:val="0"/>
          <w:rtl/>
        </w:rPr>
        <w:t xml:space="preserve">, אך בשנת 2000 החלה המבקשת 1 לייצר </w:t>
      </w:r>
      <w:r w:rsidR="005B2C87">
        <w:rPr>
          <w:rFonts w:ascii="Arial" w:hAnsi="Arial"/>
          <w:noProof w:val="0"/>
          <w:rtl/>
        </w:rPr>
        <w:t>מתיחות במשפחה וטענה כי הבת י</w:t>
      </w:r>
      <w:r w:rsidR="005B2C87">
        <w:rPr>
          <w:rFonts w:ascii="Arial" w:hAnsi="Arial" w:hint="cs"/>
          <w:noProof w:val="0"/>
          <w:rtl/>
        </w:rPr>
        <w:t>'</w:t>
      </w:r>
      <w:r>
        <w:rPr>
          <w:rFonts w:ascii="Arial" w:hAnsi="Arial"/>
          <w:noProof w:val="0"/>
          <w:rtl/>
        </w:rPr>
        <w:t xml:space="preserve"> עלולה לברוח עם הכספים של ההורים ומשכך העבירו ההורים למבקש</w:t>
      </w:r>
      <w:r w:rsidR="0048306A">
        <w:rPr>
          <w:rFonts w:ascii="Arial" w:hAnsi="Arial"/>
          <w:noProof w:val="0"/>
          <w:rtl/>
        </w:rPr>
        <w:t>ת 1 את כלל ענייני ניהול הכספים</w:t>
      </w:r>
      <w:r w:rsidR="0048306A">
        <w:rPr>
          <w:rFonts w:ascii="Arial" w:hAnsi="Arial" w:hint="cs"/>
          <w:noProof w:val="0"/>
          <w:rtl/>
        </w:rPr>
        <w:t xml:space="preserve">, </w:t>
      </w:r>
      <w:r>
        <w:rPr>
          <w:rFonts w:ascii="Arial" w:hAnsi="Arial"/>
          <w:noProof w:val="0"/>
          <w:rtl/>
        </w:rPr>
        <w:t xml:space="preserve">חתמו עבורה על ייפוי כוח וניתנה לה גישה לכלל הכספים והחסכונות </w:t>
      </w:r>
      <w:r w:rsidR="0048306A">
        <w:rPr>
          <w:rFonts w:ascii="Arial" w:hAnsi="Arial" w:hint="cs"/>
          <w:noProof w:val="0"/>
          <w:rtl/>
        </w:rPr>
        <w:t>ול</w:t>
      </w:r>
      <w:r>
        <w:rPr>
          <w:rFonts w:ascii="Arial" w:hAnsi="Arial"/>
          <w:noProof w:val="0"/>
          <w:rtl/>
        </w:rPr>
        <w:t>טענת המשיב בתביעתו, המבקשת 1 נטלה שלא כדין כספים רבים מחשבונות הוריה ועש</w:t>
      </w:r>
      <w:r w:rsidR="0048306A">
        <w:rPr>
          <w:rFonts w:ascii="Arial" w:hAnsi="Arial"/>
          <w:noProof w:val="0"/>
          <w:rtl/>
        </w:rPr>
        <w:t xml:space="preserve">תה בהם כבשלה ובין היתר נטלה </w:t>
      </w:r>
      <w:r>
        <w:rPr>
          <w:rFonts w:ascii="Arial" w:hAnsi="Arial"/>
          <w:noProof w:val="0"/>
          <w:rtl/>
        </w:rPr>
        <w:t xml:space="preserve">סך של 400,000 ₪ שנחסכו עבורו. אשר על כן, המשיב עתר להשבת הכספים שניטלו שלא כדין וביקש להורות על </w:t>
      </w:r>
      <w:r w:rsidR="0048306A">
        <w:rPr>
          <w:rFonts w:ascii="Arial" w:hAnsi="Arial" w:hint="cs"/>
          <w:noProof w:val="0"/>
          <w:rtl/>
        </w:rPr>
        <w:t xml:space="preserve">מתן </w:t>
      </w:r>
      <w:r>
        <w:rPr>
          <w:rFonts w:ascii="Arial" w:hAnsi="Arial"/>
          <w:noProof w:val="0"/>
          <w:rtl/>
        </w:rPr>
        <w:t>צווים לקבלת מידע מהבנקים להוכחת טענותיו.</w:t>
      </w:r>
    </w:p>
    <w:p w:rsidR="00E0396B" w:rsidRDefault="00E0396B" w:rsidP="00E0396B">
      <w:pPr>
        <w:spacing w:line="360" w:lineRule="auto"/>
        <w:jc w:val="both"/>
        <w:rPr>
          <w:rFonts w:ascii="Arial" w:hAnsi="Arial"/>
          <w:noProof w:val="0"/>
          <w:rtl/>
        </w:rPr>
      </w:pPr>
    </w:p>
    <w:p w:rsidR="00E0396B" w:rsidRDefault="00E0396B" w:rsidP="00E0396B">
      <w:pPr>
        <w:spacing w:line="360" w:lineRule="auto"/>
        <w:jc w:val="both"/>
        <w:rPr>
          <w:rFonts w:ascii="Arial" w:hAnsi="Arial"/>
          <w:b/>
          <w:bCs/>
          <w:noProof w:val="0"/>
          <w:u w:val="single"/>
          <w:rtl/>
        </w:rPr>
      </w:pPr>
      <w:r>
        <w:rPr>
          <w:rFonts w:ascii="Arial" w:hAnsi="Arial"/>
          <w:b/>
          <w:bCs/>
          <w:noProof w:val="0"/>
          <w:u w:val="single"/>
          <w:rtl/>
        </w:rPr>
        <w:t>טענות הצדדים בתמצית</w:t>
      </w:r>
    </w:p>
    <w:p w:rsidR="00E0396B" w:rsidRDefault="00E0396B" w:rsidP="00E0396B">
      <w:pPr>
        <w:spacing w:line="360" w:lineRule="auto"/>
        <w:jc w:val="both"/>
        <w:rPr>
          <w:rFonts w:ascii="Arial" w:hAnsi="Arial"/>
          <w:noProof w:val="0"/>
          <w:rtl/>
        </w:rPr>
      </w:pPr>
    </w:p>
    <w:p w:rsidR="00E0396B" w:rsidRDefault="00E0396B" w:rsidP="00E0396B">
      <w:pPr>
        <w:pStyle w:val="ad"/>
        <w:numPr>
          <w:ilvl w:val="0"/>
          <w:numId w:val="3"/>
        </w:numPr>
        <w:spacing w:line="360" w:lineRule="auto"/>
        <w:jc w:val="both"/>
        <w:rPr>
          <w:rFonts w:ascii="Arial" w:hAnsi="Arial"/>
          <w:noProof w:val="0"/>
          <w:rtl/>
        </w:rPr>
      </w:pPr>
      <w:r>
        <w:rPr>
          <w:rFonts w:ascii="Arial" w:hAnsi="Arial"/>
          <w:noProof w:val="0"/>
          <w:rtl/>
        </w:rPr>
        <w:t>לטענת המבקשים, המבקשת 1 הקדישה את מיטב זמנה לתמיכה, ליווי ומילוי צרכיהם של הוריה המבוגרים, אשר התקשו לנהל את ענייניהם בבנקים, במוסדות שונים ובחיי היומיום ופעלה באמון מלא אל מול הוריה, תוך שנאלצה לנהל חשבונות בנק שונים. החל משנת 2012  ובמיוחד לאחר פטירת אבי המשפחה, החל המשיב במסע השמצות וזריעת פילוג במשפחה</w:t>
      </w:r>
      <w:r w:rsidR="005B2C87">
        <w:rPr>
          <w:rFonts w:ascii="Arial" w:hAnsi="Arial"/>
          <w:noProof w:val="0"/>
          <w:rtl/>
        </w:rPr>
        <w:t xml:space="preserve"> המורחבת וטען ללא הפסקה כי "</w:t>
      </w:r>
      <w:r w:rsidR="005B2C87">
        <w:rPr>
          <w:rFonts w:ascii="Arial" w:hAnsi="Arial" w:hint="cs"/>
          <w:noProof w:val="0"/>
          <w:rtl/>
        </w:rPr>
        <w:t>א'</w:t>
      </w:r>
      <w:r>
        <w:rPr>
          <w:rFonts w:ascii="Arial" w:hAnsi="Arial"/>
          <w:noProof w:val="0"/>
          <w:rtl/>
        </w:rPr>
        <w:t xml:space="preserve"> רוקנה את החשבונות, גנבה את החסכונות, גנבה מאות אלפי שקלים מהוריו" ובהמשך אף ניצל את מצוקת האם וגילה המתקדם והסית אותה כנגד ילדיה, תוך</w:t>
      </w:r>
      <w:r w:rsidR="005B2C87">
        <w:rPr>
          <w:rFonts w:ascii="Arial" w:hAnsi="Arial"/>
          <w:noProof w:val="0"/>
          <w:rtl/>
        </w:rPr>
        <w:t xml:space="preserve"> שהוא נעזר לצורך כך באחיינו א</w:t>
      </w:r>
      <w:r w:rsidR="005B2C87">
        <w:rPr>
          <w:rFonts w:ascii="Arial" w:hAnsi="Arial" w:hint="cs"/>
          <w:noProof w:val="0"/>
          <w:rtl/>
        </w:rPr>
        <w:t>'</w:t>
      </w:r>
      <w:r>
        <w:rPr>
          <w:rFonts w:ascii="Arial" w:hAnsi="Arial"/>
          <w:noProof w:val="0"/>
          <w:rtl/>
        </w:rPr>
        <w:t xml:space="preserve"> ובתמורה הבטיח לו תגמול נאה עבור "מאמציו".</w:t>
      </w:r>
    </w:p>
    <w:p w:rsidR="00E0396B" w:rsidRDefault="00E0396B" w:rsidP="00E0396B">
      <w:pPr>
        <w:pStyle w:val="ad"/>
        <w:spacing w:line="360" w:lineRule="auto"/>
        <w:jc w:val="both"/>
        <w:rPr>
          <w:rFonts w:ascii="Arial" w:hAnsi="Arial"/>
          <w:noProof w:val="0"/>
          <w:rtl/>
        </w:rPr>
      </w:pPr>
      <w:r>
        <w:rPr>
          <w:rFonts w:ascii="Arial" w:hAnsi="Arial"/>
          <w:noProof w:val="0"/>
          <w:rtl/>
        </w:rPr>
        <w:t xml:space="preserve">לאור התנהלות המשיב, המבקשת 1 נאלצה לפנות לבית המשפט בדימונה בבקשה למתן צו הרחקה כנגדו. בעקבות צו ההרחקה ולבקשת האם נסגרו כל החשבונות המשותפים לאם ולמבקשת 1 והמשיב החל לעשות בכספי האם כבשלו, תוך שהוא מחריף את הקרע במשפחה ואף לקח את האם בהיותה תשושה לעו"ד, לשם הגשת תביעה אזרחית ע"ס 104,600 ₪, אשר במסגרתה אף ניתן פסק דין בהעדר הגנה. </w:t>
      </w:r>
    </w:p>
    <w:p w:rsidR="00E0396B" w:rsidRDefault="00E0396B" w:rsidP="00E0396B">
      <w:pPr>
        <w:pStyle w:val="ad"/>
        <w:spacing w:line="360" w:lineRule="auto"/>
        <w:jc w:val="both"/>
        <w:rPr>
          <w:rFonts w:ascii="Arial" w:hAnsi="Arial"/>
          <w:noProof w:val="0"/>
        </w:rPr>
      </w:pPr>
    </w:p>
    <w:p w:rsidR="00E0396B" w:rsidRDefault="00E0396B" w:rsidP="00E0396B">
      <w:pPr>
        <w:pStyle w:val="ad"/>
        <w:spacing w:line="360" w:lineRule="auto"/>
        <w:jc w:val="both"/>
        <w:rPr>
          <w:rFonts w:ascii="Arial" w:hAnsi="Arial"/>
          <w:noProof w:val="0"/>
          <w:rtl/>
        </w:rPr>
      </w:pPr>
      <w:r>
        <w:rPr>
          <w:rFonts w:ascii="Arial" w:hAnsi="Arial"/>
          <w:noProof w:val="0"/>
          <w:rtl/>
        </w:rPr>
        <w:t xml:space="preserve">המבקשים טענו, כי יש לדחות את התביעה על הסף בשל התיישנות העילה, שכן כלל טענות המשיב ביחס לכספים "שנגנבו" על ידה </w:t>
      </w:r>
      <w:r w:rsidR="0048306A">
        <w:rPr>
          <w:rFonts w:ascii="Arial" w:hAnsi="Arial" w:hint="cs"/>
          <w:noProof w:val="0"/>
          <w:rtl/>
        </w:rPr>
        <w:t xml:space="preserve">לכאורה </w:t>
      </w:r>
      <w:r>
        <w:rPr>
          <w:rFonts w:ascii="Arial" w:hAnsi="Arial"/>
          <w:noProof w:val="0"/>
          <w:rtl/>
        </w:rPr>
        <w:t>מחשבונות הבנק המשותפים</w:t>
      </w:r>
      <w:r w:rsidR="0048306A">
        <w:rPr>
          <w:rFonts w:ascii="Arial" w:hAnsi="Arial" w:hint="cs"/>
          <w:noProof w:val="0"/>
          <w:rtl/>
        </w:rPr>
        <w:t xml:space="preserve"> לה ולאימה המנוחה,</w:t>
      </w:r>
      <w:r>
        <w:rPr>
          <w:rFonts w:ascii="Arial" w:hAnsi="Arial"/>
          <w:noProof w:val="0"/>
          <w:rtl/>
        </w:rPr>
        <w:t xml:space="preserve"> הינן בגין חשבונות שנסגרו כבר בשנת 2014 ומשכך</w:t>
      </w:r>
      <w:r w:rsidR="0048306A">
        <w:rPr>
          <w:rFonts w:ascii="Arial" w:hAnsi="Arial"/>
          <w:noProof w:val="0"/>
          <w:rtl/>
        </w:rPr>
        <w:t xml:space="preserve"> המועד האחרון להגשת התביעה הי</w:t>
      </w:r>
      <w:r w:rsidR="0048306A">
        <w:rPr>
          <w:rFonts w:ascii="Arial" w:hAnsi="Arial" w:hint="cs"/>
          <w:noProof w:val="0"/>
          <w:rtl/>
        </w:rPr>
        <w:t>ה</w:t>
      </w:r>
      <w:r>
        <w:rPr>
          <w:rFonts w:ascii="Arial" w:hAnsi="Arial"/>
          <w:noProof w:val="0"/>
          <w:rtl/>
        </w:rPr>
        <w:t xml:space="preserve"> בשנת 2021. </w:t>
      </w:r>
    </w:p>
    <w:p w:rsidR="00E0396B" w:rsidRDefault="00E0396B" w:rsidP="00E0396B">
      <w:pPr>
        <w:pStyle w:val="ad"/>
        <w:spacing w:line="360" w:lineRule="auto"/>
        <w:jc w:val="both"/>
        <w:rPr>
          <w:rFonts w:ascii="Arial" w:hAnsi="Arial"/>
          <w:noProof w:val="0"/>
          <w:rtl/>
        </w:rPr>
      </w:pPr>
    </w:p>
    <w:p w:rsidR="00E0396B" w:rsidRDefault="00E0396B" w:rsidP="00E0396B">
      <w:pPr>
        <w:pStyle w:val="ad"/>
        <w:spacing w:line="360" w:lineRule="auto"/>
        <w:jc w:val="both"/>
        <w:rPr>
          <w:rFonts w:ascii="Arial" w:hAnsi="Arial"/>
          <w:noProof w:val="0"/>
          <w:rtl/>
        </w:rPr>
      </w:pPr>
      <w:r>
        <w:rPr>
          <w:rFonts w:ascii="Arial" w:hAnsi="Arial"/>
          <w:noProof w:val="0"/>
          <w:rtl/>
        </w:rPr>
        <w:t xml:space="preserve">המבקשים הוסיפו וטענו, כי יש לדחות את התביעה על הסף בשל העדר עילה והעדר יריבות כנגד המבקש 2 וזאת משום שבכתב התביעה, רובו ככולו, מועלות טענות כלפי המבקשת 1 ואין כל יריבות עם המבקש 2 ולו מעשה או מחדל אחד, המיוחס למבקש 2, שיש בו כדי להקים יריבות ישירה בינו לבין התובע. </w:t>
      </w:r>
    </w:p>
    <w:p w:rsidR="00E0396B" w:rsidRDefault="00E0396B" w:rsidP="005B2C87">
      <w:pPr>
        <w:pStyle w:val="ad"/>
        <w:numPr>
          <w:ilvl w:val="0"/>
          <w:numId w:val="3"/>
        </w:numPr>
        <w:spacing w:line="360" w:lineRule="auto"/>
        <w:jc w:val="both"/>
        <w:rPr>
          <w:rFonts w:ascii="Arial" w:hAnsi="Arial"/>
          <w:noProof w:val="0"/>
          <w:rtl/>
        </w:rPr>
      </w:pPr>
      <w:r>
        <w:rPr>
          <w:rFonts w:ascii="Arial" w:hAnsi="Arial"/>
          <w:noProof w:val="0"/>
          <w:rtl/>
        </w:rPr>
        <w:lastRenderedPageBreak/>
        <w:t xml:space="preserve">המשיב בתגובתו לבקשת המבקשים הפנה לתסקיר שנערך בעניינם של הצדדים, במסגרת הליך אפוטרופסות קשור, ע"י העו"ס </w:t>
      </w:r>
      <w:r w:rsidR="005B2C87">
        <w:rPr>
          <w:rFonts w:ascii="Arial" w:hAnsi="Arial" w:hint="cs"/>
          <w:noProof w:val="0"/>
          <w:rtl/>
        </w:rPr>
        <w:t>...</w:t>
      </w:r>
      <w:r>
        <w:rPr>
          <w:rFonts w:ascii="Arial" w:hAnsi="Arial"/>
          <w:noProof w:val="0"/>
          <w:rtl/>
        </w:rPr>
        <w:t xml:space="preserve"> מיום 20.8.2017, במסגרתו תועדו דברי הצדדים בפגישות שנערכו עמם ואשר בהן הודתה המבקשת 1 כי הוריה חסכו ס</w:t>
      </w:r>
      <w:r w:rsidR="005B2C87">
        <w:rPr>
          <w:rFonts w:ascii="Arial" w:hAnsi="Arial"/>
          <w:noProof w:val="0"/>
          <w:rtl/>
        </w:rPr>
        <w:t>כום של 400,000 ₪  עבור אחיה ר</w:t>
      </w:r>
      <w:r w:rsidR="005B2C87">
        <w:rPr>
          <w:rFonts w:ascii="Arial" w:hAnsi="Arial" w:hint="cs"/>
          <w:noProof w:val="0"/>
          <w:rtl/>
        </w:rPr>
        <w:t>'</w:t>
      </w:r>
      <w:r>
        <w:rPr>
          <w:rFonts w:ascii="Arial" w:hAnsi="Arial"/>
          <w:noProof w:val="0"/>
          <w:rtl/>
        </w:rPr>
        <w:t xml:space="preserve"> והמבקשת 1 לא הגישה כל הסתייגות בעניין התסקיר. </w:t>
      </w:r>
    </w:p>
    <w:p w:rsidR="00E0396B" w:rsidRDefault="00E0396B" w:rsidP="00E0396B">
      <w:pPr>
        <w:pStyle w:val="ad"/>
        <w:spacing w:line="360" w:lineRule="auto"/>
        <w:jc w:val="both"/>
        <w:rPr>
          <w:rFonts w:ascii="Arial" w:hAnsi="Arial"/>
          <w:noProof w:val="0"/>
        </w:rPr>
      </w:pPr>
    </w:p>
    <w:p w:rsidR="00E0396B" w:rsidRDefault="00E0396B" w:rsidP="00E0396B">
      <w:pPr>
        <w:pStyle w:val="ad"/>
        <w:spacing w:line="360" w:lineRule="auto"/>
        <w:jc w:val="both"/>
        <w:rPr>
          <w:rFonts w:ascii="Arial" w:hAnsi="Arial"/>
          <w:noProof w:val="0"/>
          <w:rtl/>
        </w:rPr>
      </w:pPr>
      <w:r>
        <w:rPr>
          <w:rFonts w:ascii="Arial" w:hAnsi="Arial"/>
          <w:noProof w:val="0"/>
          <w:rtl/>
        </w:rPr>
        <w:t>המשיב הוסיף, כי המבקשת 1 הודתה בסעיף 89 לכתב הגנתה, כי אכן מדובר בסכום שנצבר על שמה בבנק הפועלים, שמקורו בהפקדות אותן חסכה לבקשת המש</w:t>
      </w:r>
      <w:r w:rsidR="005B2C87">
        <w:rPr>
          <w:rFonts w:ascii="Arial" w:hAnsi="Arial"/>
          <w:noProof w:val="0"/>
          <w:rtl/>
        </w:rPr>
        <w:t>יב, ואשר העבירה אותם לאחיין א</w:t>
      </w:r>
      <w:r w:rsidR="005B2C87">
        <w:rPr>
          <w:rFonts w:ascii="Arial" w:hAnsi="Arial" w:hint="cs"/>
          <w:noProof w:val="0"/>
          <w:rtl/>
        </w:rPr>
        <w:t>'</w:t>
      </w:r>
      <w:r>
        <w:rPr>
          <w:rFonts w:ascii="Arial" w:hAnsi="Arial"/>
          <w:noProof w:val="0"/>
          <w:rtl/>
        </w:rPr>
        <w:t xml:space="preserve"> ובנספח ד' לכתב הגנתה צירפה המבקשת 1 מסמך המאשר כי </w:t>
      </w:r>
      <w:r w:rsidR="005B2C87">
        <w:rPr>
          <w:rFonts w:ascii="Arial" w:hAnsi="Arial"/>
          <w:noProof w:val="0"/>
          <w:rtl/>
        </w:rPr>
        <w:t>ביום 9.1.2014 העבירה לאחיין א</w:t>
      </w:r>
      <w:r w:rsidR="005B2C87">
        <w:rPr>
          <w:rFonts w:ascii="Arial" w:hAnsi="Arial" w:hint="cs"/>
          <w:noProof w:val="0"/>
          <w:rtl/>
        </w:rPr>
        <w:t>'</w:t>
      </w:r>
      <w:r>
        <w:rPr>
          <w:rFonts w:ascii="Arial" w:hAnsi="Arial"/>
          <w:noProof w:val="0"/>
          <w:rtl/>
        </w:rPr>
        <w:t xml:space="preserve"> סך של 237,000 ₪, שנחסכו בחשבון הנתבעת בבנק הפועלים ולמרות כל זאת, בסרטון שצולם ביום 1.11.2017 נראית ונשמעת המבקשת 1 כשהיא מודה שוב כי היא מחזיקה בסכום הנ"ל ולכן, לטענת המשיב, הסך </w:t>
      </w:r>
      <w:r w:rsidR="005B2C87">
        <w:rPr>
          <w:rFonts w:ascii="Arial" w:hAnsi="Arial"/>
          <w:noProof w:val="0"/>
          <w:rtl/>
        </w:rPr>
        <w:t>של 237,000 ₪ שהועברו לאחיין א</w:t>
      </w:r>
      <w:r w:rsidR="005B2C87">
        <w:rPr>
          <w:rFonts w:ascii="Arial" w:hAnsi="Arial" w:hint="cs"/>
          <w:noProof w:val="0"/>
          <w:rtl/>
        </w:rPr>
        <w:t>'</w:t>
      </w:r>
      <w:r>
        <w:rPr>
          <w:rFonts w:ascii="Arial" w:hAnsi="Arial"/>
          <w:noProof w:val="0"/>
          <w:rtl/>
        </w:rPr>
        <w:t xml:space="preserve"> בינואר 2014 אינם קשורים לסך של 400,000 ₪ שנחסכו עבורו על ידי הוריו ומצויים בחזקתה.</w:t>
      </w:r>
    </w:p>
    <w:p w:rsidR="00E0396B" w:rsidRDefault="00E0396B" w:rsidP="00E0396B">
      <w:pPr>
        <w:pStyle w:val="ad"/>
        <w:spacing w:line="360" w:lineRule="auto"/>
        <w:jc w:val="both"/>
        <w:rPr>
          <w:rFonts w:ascii="Arial" w:hAnsi="Arial"/>
          <w:noProof w:val="0"/>
          <w:rtl/>
        </w:rPr>
      </w:pPr>
    </w:p>
    <w:p w:rsidR="00E0396B" w:rsidRDefault="00E0396B" w:rsidP="00027948">
      <w:pPr>
        <w:pStyle w:val="ad"/>
        <w:spacing w:line="360" w:lineRule="auto"/>
        <w:jc w:val="both"/>
        <w:rPr>
          <w:rFonts w:ascii="Arial" w:hAnsi="Arial"/>
          <w:noProof w:val="0"/>
        </w:rPr>
      </w:pPr>
      <w:r>
        <w:rPr>
          <w:rFonts w:ascii="Arial" w:hAnsi="Arial"/>
          <w:noProof w:val="0"/>
          <w:rtl/>
        </w:rPr>
        <w:t xml:space="preserve">לאור כל האמור ובשעה שנודע לו על הכספים הנ"ל </w:t>
      </w:r>
      <w:r w:rsidR="00027948">
        <w:rPr>
          <w:rFonts w:ascii="Arial" w:hAnsi="Arial" w:hint="cs"/>
          <w:noProof w:val="0"/>
          <w:rtl/>
        </w:rPr>
        <w:t>ב</w:t>
      </w:r>
      <w:r>
        <w:rPr>
          <w:rFonts w:ascii="Arial" w:hAnsi="Arial"/>
          <w:noProof w:val="0"/>
          <w:rtl/>
        </w:rPr>
        <w:t xml:space="preserve">פעם </w:t>
      </w:r>
      <w:r w:rsidR="00027948">
        <w:rPr>
          <w:rFonts w:ascii="Arial" w:hAnsi="Arial" w:hint="cs"/>
          <w:noProof w:val="0"/>
          <w:rtl/>
        </w:rPr>
        <w:t>ה</w:t>
      </w:r>
      <w:r>
        <w:rPr>
          <w:rFonts w:ascii="Arial" w:hAnsi="Arial"/>
          <w:noProof w:val="0"/>
          <w:rtl/>
        </w:rPr>
        <w:t>ראשונה בסוף שנת 2017 ובפעם השניה בשנת 2020,</w:t>
      </w:r>
      <w:r w:rsidR="005B2C87">
        <w:rPr>
          <w:rFonts w:ascii="Arial" w:hAnsi="Arial" w:hint="cs"/>
          <w:noProof w:val="0"/>
          <w:rtl/>
        </w:rPr>
        <w:t xml:space="preserve"> </w:t>
      </w:r>
      <w:r>
        <w:rPr>
          <w:rFonts w:ascii="Arial" w:hAnsi="Arial"/>
          <w:noProof w:val="0"/>
          <w:rtl/>
        </w:rPr>
        <w:t xml:space="preserve">ובהתחשב בכך שתביעתו הוגשה ביום 16.2.2023, הרי שלא חלפו 7 שנים מיום הגילוי ומשכך אין כל בסיס לטענת הנתבעת בדבר התיישנות התובענה. המשיב הוסיף, כי הודאת המבקשת 1 בפני העו"ס והודאתה בסרטון המדובר, מהוות הודאה בזכות לפי סעיף 9 לחוק ההתיישנות, באופן המאריך ממילא את תקופת ההתיישנות, </w:t>
      </w:r>
      <w:r w:rsidR="00027948">
        <w:rPr>
          <w:rFonts w:ascii="Arial" w:hAnsi="Arial" w:hint="cs"/>
          <w:noProof w:val="0"/>
          <w:rtl/>
        </w:rPr>
        <w:t>ל</w:t>
      </w:r>
      <w:r>
        <w:rPr>
          <w:rFonts w:ascii="Arial" w:hAnsi="Arial"/>
          <w:noProof w:val="0"/>
          <w:rtl/>
        </w:rPr>
        <w:t xml:space="preserve"> 7 שנים מיום ההודאה הנ"ל.</w:t>
      </w:r>
    </w:p>
    <w:p w:rsidR="00E0396B" w:rsidRPr="00027948" w:rsidRDefault="00E0396B" w:rsidP="00E0396B">
      <w:pPr>
        <w:pStyle w:val="ad"/>
        <w:spacing w:line="360" w:lineRule="auto"/>
        <w:jc w:val="both"/>
        <w:rPr>
          <w:rFonts w:ascii="Arial" w:hAnsi="Arial"/>
          <w:noProof w:val="0"/>
        </w:rPr>
      </w:pPr>
    </w:p>
    <w:p w:rsidR="00E0396B" w:rsidRDefault="00E0396B" w:rsidP="00E0396B">
      <w:pPr>
        <w:pStyle w:val="ad"/>
        <w:spacing w:line="360" w:lineRule="auto"/>
        <w:jc w:val="both"/>
        <w:rPr>
          <w:rFonts w:ascii="Arial" w:hAnsi="Arial"/>
          <w:noProof w:val="0"/>
          <w:rtl/>
        </w:rPr>
      </w:pPr>
      <w:r>
        <w:rPr>
          <w:rFonts w:ascii="Arial" w:hAnsi="Arial"/>
          <w:noProof w:val="0"/>
          <w:rtl/>
        </w:rPr>
        <w:t>המשיב הדגיש, כי דחייה על הסף מחמת התיישנות, עוד בטרם התבררו כל העובדות נשוא התביעה ועוד בטרם נחקרה המבקשת 1 על גרסתה, מהווה סעד קיצוני וחריג, אשר בתי המשפט לא ימהרו לתיתו, אלא לאחר בירור מלא של התביעה ובמיוחד כאשר מדובר בהודאה שניתנה בפני מספר גורמים שונים, מהם עו"ס שהיא "נייטרלית" והודאה נוספת בפני עדים.</w:t>
      </w:r>
    </w:p>
    <w:p w:rsidR="00E0396B" w:rsidRDefault="00E0396B" w:rsidP="00E0396B">
      <w:pPr>
        <w:spacing w:line="360" w:lineRule="auto"/>
        <w:jc w:val="both"/>
        <w:rPr>
          <w:rFonts w:ascii="Arial" w:hAnsi="Arial"/>
          <w:noProof w:val="0"/>
          <w:rtl/>
        </w:rPr>
      </w:pPr>
    </w:p>
    <w:p w:rsidR="00E0396B" w:rsidRDefault="00E0396B" w:rsidP="00E0396B">
      <w:pPr>
        <w:pStyle w:val="ad"/>
        <w:numPr>
          <w:ilvl w:val="0"/>
          <w:numId w:val="3"/>
        </w:numPr>
        <w:spacing w:line="360" w:lineRule="auto"/>
        <w:jc w:val="both"/>
        <w:rPr>
          <w:rFonts w:ascii="Arial" w:hAnsi="Arial"/>
          <w:noProof w:val="0"/>
          <w:rtl/>
        </w:rPr>
      </w:pPr>
      <w:r>
        <w:rPr>
          <w:rFonts w:ascii="Arial" w:hAnsi="Arial"/>
          <w:noProof w:val="0"/>
          <w:rtl/>
        </w:rPr>
        <w:t xml:space="preserve">בדיון שהתקיים ביום 11.9.2023 במעמד הצדדים בית המשפט שמע את הצדדים וניסה  לברר את גדרי המחלוקת וזאת במיוחד לנוכח הבקשה למחיקה על הסף שהוגשה כבר בחודש מאי 2023. בטרם מתן הכרעה, בית המשפט שיקף לצדדים את מצב הדברים כהווייתו וזאת לנוכח דברים מפורשים שעלו מעדותו של התובע בדיון והבהיר כי על פניו מדובר לכל היותר בתביעה שהתיישנה וזאת לנוכח המועדים בהם לשיטתו של התובע עצמו חדלה הנתבעת 1 מלנהל את חשבונותיה של האם המנוחה. </w:t>
      </w:r>
    </w:p>
    <w:p w:rsidR="00E0396B" w:rsidRDefault="00E0396B" w:rsidP="00E0396B">
      <w:pPr>
        <w:pStyle w:val="ad"/>
        <w:spacing w:line="360" w:lineRule="auto"/>
        <w:jc w:val="both"/>
        <w:rPr>
          <w:rFonts w:ascii="Arial" w:hAnsi="Arial"/>
          <w:noProof w:val="0"/>
        </w:rPr>
      </w:pPr>
    </w:p>
    <w:p w:rsidR="00E0396B" w:rsidRDefault="00E0396B" w:rsidP="00E0396B">
      <w:pPr>
        <w:pStyle w:val="ad"/>
        <w:spacing w:line="360" w:lineRule="auto"/>
        <w:jc w:val="both"/>
        <w:rPr>
          <w:rFonts w:ascii="Arial" w:hAnsi="Arial"/>
          <w:noProof w:val="0"/>
          <w:rtl/>
        </w:rPr>
      </w:pPr>
      <w:r>
        <w:rPr>
          <w:rFonts w:ascii="Arial" w:hAnsi="Arial"/>
          <w:noProof w:val="0"/>
          <w:rtl/>
        </w:rPr>
        <w:lastRenderedPageBreak/>
        <w:t xml:space="preserve">כמו כן, הובהר לצדדים כי התובע מסתמך על הודאות לכאורה של הנתבעת 1 משנת 2017, אשר אף הן אינן מבוררות דיין וכי התובע נדרש לעבור "משוכה" נוספת, שכן הוא מבקש להסתמך על צו גילוי מסמכים ביחס לחשבונותיה של הנתבעת 1 </w:t>
      </w:r>
      <w:r w:rsidR="00027948">
        <w:rPr>
          <w:rFonts w:ascii="Arial" w:hAnsi="Arial" w:hint="cs"/>
          <w:noProof w:val="0"/>
          <w:rtl/>
        </w:rPr>
        <w:t xml:space="preserve">(בבחינת "מסע דייג") </w:t>
      </w:r>
      <w:r>
        <w:rPr>
          <w:rFonts w:ascii="Arial" w:hAnsi="Arial"/>
          <w:noProof w:val="0"/>
          <w:rtl/>
        </w:rPr>
        <w:t>ואשר בהעדרו אין בידיו לכאורה כדי ללמד על עילת תביעה ונראה כי בבוא היום יוטל עליו נטל מוגבר להוכחת תביעתו.</w:t>
      </w:r>
    </w:p>
    <w:p w:rsidR="00E0396B" w:rsidRDefault="00E0396B" w:rsidP="00E0396B">
      <w:pPr>
        <w:pStyle w:val="ad"/>
        <w:spacing w:line="360" w:lineRule="auto"/>
        <w:jc w:val="both"/>
        <w:rPr>
          <w:rFonts w:ascii="Arial" w:hAnsi="Arial"/>
          <w:noProof w:val="0"/>
          <w:rtl/>
        </w:rPr>
      </w:pPr>
    </w:p>
    <w:p w:rsidR="00E0396B" w:rsidRDefault="00E0396B" w:rsidP="00E0396B">
      <w:pPr>
        <w:pStyle w:val="ad"/>
        <w:spacing w:line="360" w:lineRule="auto"/>
        <w:jc w:val="both"/>
        <w:rPr>
          <w:rFonts w:ascii="Arial" w:hAnsi="Arial"/>
          <w:noProof w:val="0"/>
          <w:rtl/>
        </w:rPr>
      </w:pPr>
      <w:r>
        <w:rPr>
          <w:rFonts w:ascii="Arial" w:hAnsi="Arial"/>
          <w:noProof w:val="0"/>
          <w:rtl/>
        </w:rPr>
        <w:t>חרף האמור לעיל, ב"כ התובע עמדה על בירור התובענה ומשכך לא היה מנוס מבירור הבקשה לדחייה על הסף</w:t>
      </w:r>
      <w:r w:rsidR="003E65FD">
        <w:rPr>
          <w:rFonts w:ascii="Arial" w:hAnsi="Arial" w:hint="cs"/>
          <w:noProof w:val="0"/>
          <w:rtl/>
        </w:rPr>
        <w:t xml:space="preserve"> ומשכך הוריתי לצדדים להגיש סיכומיהם בכתב ביחס לבקשה למחיקת ההליך על הסף</w:t>
      </w:r>
      <w:r>
        <w:rPr>
          <w:rFonts w:ascii="Arial" w:hAnsi="Arial"/>
          <w:noProof w:val="0"/>
          <w:rtl/>
        </w:rPr>
        <w:t xml:space="preserve">. </w:t>
      </w:r>
    </w:p>
    <w:p w:rsidR="00E0396B" w:rsidRDefault="00E0396B" w:rsidP="00E0396B">
      <w:pPr>
        <w:pStyle w:val="ad"/>
        <w:spacing w:line="360" w:lineRule="auto"/>
        <w:jc w:val="both"/>
        <w:rPr>
          <w:rFonts w:ascii="Arial" w:hAnsi="Arial"/>
          <w:noProof w:val="0"/>
          <w:rtl/>
        </w:rPr>
      </w:pPr>
    </w:p>
    <w:p w:rsidR="00E0396B" w:rsidRDefault="00E0396B" w:rsidP="00E0396B">
      <w:pPr>
        <w:spacing w:line="360" w:lineRule="auto"/>
        <w:jc w:val="both"/>
        <w:rPr>
          <w:rFonts w:ascii="Arial" w:hAnsi="Arial"/>
          <w:b/>
          <w:bCs/>
          <w:noProof w:val="0"/>
          <w:u w:val="single"/>
          <w:rtl/>
        </w:rPr>
      </w:pPr>
      <w:r>
        <w:rPr>
          <w:rFonts w:ascii="Arial" w:hAnsi="Arial"/>
          <w:b/>
          <w:bCs/>
          <w:noProof w:val="0"/>
          <w:u w:val="single"/>
          <w:rtl/>
        </w:rPr>
        <w:t>סיכומי הצדדים</w:t>
      </w:r>
      <w:r w:rsidR="003E65FD">
        <w:rPr>
          <w:rFonts w:ascii="Arial" w:hAnsi="Arial" w:hint="cs"/>
          <w:b/>
          <w:bCs/>
          <w:noProof w:val="0"/>
          <w:u w:val="single"/>
          <w:rtl/>
        </w:rPr>
        <w:t>:</w:t>
      </w:r>
    </w:p>
    <w:p w:rsidR="00E0396B" w:rsidRDefault="00E0396B" w:rsidP="00E0396B">
      <w:pPr>
        <w:spacing w:line="360" w:lineRule="auto"/>
        <w:jc w:val="both"/>
        <w:rPr>
          <w:rFonts w:ascii="Arial" w:hAnsi="Arial"/>
          <w:b/>
          <w:bCs/>
          <w:noProof w:val="0"/>
          <w:u w:val="single"/>
          <w:rtl/>
        </w:rPr>
      </w:pPr>
    </w:p>
    <w:p w:rsidR="00E0396B" w:rsidRDefault="00E0396B" w:rsidP="00E0396B">
      <w:pPr>
        <w:pStyle w:val="ad"/>
        <w:numPr>
          <w:ilvl w:val="0"/>
          <w:numId w:val="3"/>
        </w:numPr>
        <w:spacing w:line="360" w:lineRule="auto"/>
        <w:jc w:val="both"/>
        <w:rPr>
          <w:rFonts w:ascii="Arial" w:hAnsi="Arial"/>
          <w:noProof w:val="0"/>
          <w:rtl/>
        </w:rPr>
      </w:pPr>
      <w:r>
        <w:rPr>
          <w:rFonts w:ascii="Arial" w:hAnsi="Arial"/>
          <w:noProof w:val="0"/>
          <w:rtl/>
        </w:rPr>
        <w:t>המבקשים תיארו בסיכומיהם את העובדות כהווייתן ופירטו את חשבונות הבנק שנפתחו על ידי המבקשת ומי מהוריה, כאשר האחרון שבהם נסגר ביום 7.3.2014, קרי: כ – 9 שנים קודם להגשת התובענה. המבקשים הבהירו, כי קיימות אינדיקציות רבות לכך שטענות המשיב נטענו ע</w:t>
      </w:r>
      <w:r w:rsidR="003E65FD">
        <w:rPr>
          <w:rFonts w:ascii="Arial" w:hAnsi="Arial"/>
          <w:noProof w:val="0"/>
          <w:rtl/>
        </w:rPr>
        <w:t>ל ידו כבר משנת 2013 וחרף טענותי</w:t>
      </w:r>
      <w:r w:rsidR="003E65FD">
        <w:rPr>
          <w:rFonts w:ascii="Arial" w:hAnsi="Arial" w:hint="cs"/>
          <w:noProof w:val="0"/>
          <w:rtl/>
        </w:rPr>
        <w:t>ו</w:t>
      </w:r>
      <w:r>
        <w:rPr>
          <w:rFonts w:ascii="Arial" w:hAnsi="Arial"/>
          <w:noProof w:val="0"/>
          <w:rtl/>
        </w:rPr>
        <w:t>, לא נודע לו עליהן באיחור.</w:t>
      </w:r>
    </w:p>
    <w:p w:rsidR="00E0396B" w:rsidRDefault="00E0396B" w:rsidP="00E0396B">
      <w:pPr>
        <w:pStyle w:val="ad"/>
        <w:spacing w:line="360" w:lineRule="auto"/>
        <w:jc w:val="both"/>
        <w:rPr>
          <w:rFonts w:ascii="Arial" w:hAnsi="Arial"/>
          <w:noProof w:val="0"/>
        </w:rPr>
      </w:pPr>
      <w:r>
        <w:rPr>
          <w:rFonts w:ascii="Arial" w:hAnsi="Arial"/>
          <w:noProof w:val="0"/>
          <w:rtl/>
        </w:rPr>
        <w:t>בין יתר האינדיקציות מצויים מכתבי המשיב, בהם טען טענות בשנת 2020 ביחס לכספים שנלקחו 7 שנים קודם לכן – בשנת 2013, קרי: עשור לפני הגשת התובענה ולכן המבקשים עתרו לדחיית התביעה על הסף בשל התיישנות העילה וזאת נוכח הוראות סעיף 18 לחוק ההתיישנות. המבקשים הוסיפו, כי אף תחולת סעיף 8 לחוק ו/או הדין החל בענייני ירושה אינם רלוונטיים בענייננו שכן התובע עצמו היה מודע היטב לטענות בעניין "גניבות" המיוחסות לנתבעת עוד בחיי הוריו וגם לאחר פטירת אמו (ביום 14.1.2020) לא פעל לתבוע את זכויותיו הנטענות במשך 3 שנים תמימות. יתרה מכך, הנתבעת היתה בעלים במשותף בחשבונות נשוא התביעה</w:t>
      </w:r>
      <w:r w:rsidR="003E65FD">
        <w:rPr>
          <w:rFonts w:ascii="Arial" w:hAnsi="Arial" w:hint="cs"/>
          <w:noProof w:val="0"/>
          <w:rtl/>
        </w:rPr>
        <w:t>,</w:t>
      </w:r>
      <w:r>
        <w:rPr>
          <w:rFonts w:ascii="Arial" w:hAnsi="Arial"/>
          <w:noProof w:val="0"/>
          <w:rtl/>
        </w:rPr>
        <w:t xml:space="preserve"> ומשכך היא הבעלים של הכספים אשר "נגנבו" לכאורה וממילא אלה לא נכללו בירושת התובע ועל כן, גם אם היה מגיש את תביעתו במסגרת הזמן הקבועה בדין, הרי כי אין מדובר בזכויות מכוח ירושה.</w:t>
      </w:r>
    </w:p>
    <w:p w:rsidR="00E0396B" w:rsidRDefault="00E0396B" w:rsidP="00E0396B">
      <w:pPr>
        <w:pStyle w:val="ad"/>
        <w:spacing w:line="360" w:lineRule="auto"/>
        <w:jc w:val="both"/>
        <w:rPr>
          <w:rFonts w:ascii="Arial" w:hAnsi="Arial"/>
          <w:noProof w:val="0"/>
          <w:rtl/>
        </w:rPr>
      </w:pPr>
    </w:p>
    <w:p w:rsidR="00E0396B" w:rsidRDefault="00E0396B" w:rsidP="003E65FD">
      <w:pPr>
        <w:pStyle w:val="ad"/>
        <w:spacing w:line="360" w:lineRule="auto"/>
        <w:jc w:val="both"/>
        <w:rPr>
          <w:rFonts w:ascii="Arial" w:hAnsi="Arial"/>
          <w:noProof w:val="0"/>
          <w:rtl/>
        </w:rPr>
      </w:pPr>
      <w:r>
        <w:rPr>
          <w:rFonts w:ascii="Arial" w:hAnsi="Arial"/>
          <w:noProof w:val="0"/>
          <w:rtl/>
        </w:rPr>
        <w:t xml:space="preserve">המבקשים הדגישו, כי ההתיישנות במקרה דנן הינה בת 7 שנים מיום היווצרות העילה ולנוכח טענת המשיב ביחס לסכומים ש"נגנבו" מחשבונות שנוהלו במשותף, הרי שחישוב ההתיישנות יחל ממועד העלאת הטענות – בשנת 2012 ועד לשנת 2019, או לחילופין משנת 2013, כאשר אמם של הצדדים הפסיקה להעביר כספים לחשבונות המשותפים, או משנת 2014, </w:t>
      </w:r>
      <w:r w:rsidR="003E65FD">
        <w:rPr>
          <w:rFonts w:ascii="Arial" w:hAnsi="Arial" w:hint="cs"/>
          <w:noProof w:val="0"/>
          <w:rtl/>
        </w:rPr>
        <w:t>ה</w:t>
      </w:r>
      <w:r>
        <w:rPr>
          <w:rFonts w:ascii="Arial" w:hAnsi="Arial"/>
          <w:noProof w:val="0"/>
          <w:rtl/>
        </w:rPr>
        <w:t>מועד בו נסגר החשבון האחרון ומשכך, היה על המשיב להגיש תביעתו לכל המאוחר עד לשנת 2021.</w:t>
      </w:r>
    </w:p>
    <w:p w:rsidR="00E0396B" w:rsidRDefault="00E0396B" w:rsidP="00E0396B">
      <w:pPr>
        <w:pStyle w:val="ad"/>
        <w:spacing w:line="360" w:lineRule="auto"/>
        <w:jc w:val="both"/>
        <w:rPr>
          <w:rFonts w:ascii="Arial" w:hAnsi="Arial"/>
          <w:noProof w:val="0"/>
          <w:rtl/>
        </w:rPr>
      </w:pPr>
    </w:p>
    <w:p w:rsidR="00E0396B" w:rsidRDefault="00E0396B" w:rsidP="00E0396B">
      <w:pPr>
        <w:pStyle w:val="ad"/>
        <w:spacing w:line="360" w:lineRule="auto"/>
        <w:jc w:val="both"/>
        <w:rPr>
          <w:rFonts w:ascii="Arial" w:hAnsi="Arial"/>
          <w:noProof w:val="0"/>
        </w:rPr>
      </w:pPr>
      <w:r>
        <w:rPr>
          <w:rFonts w:ascii="Arial" w:hAnsi="Arial"/>
          <w:noProof w:val="0"/>
          <w:rtl/>
        </w:rPr>
        <w:lastRenderedPageBreak/>
        <w:t>באשר לטענות המשיב בעניין הודאת הנתבעת, אשר התבטאה בהעבר</w:t>
      </w:r>
      <w:r w:rsidR="004F69FE">
        <w:rPr>
          <w:rFonts w:ascii="Arial" w:hAnsi="Arial"/>
          <w:noProof w:val="0"/>
          <w:rtl/>
        </w:rPr>
        <w:t>ת הכספים לאחיין א</w:t>
      </w:r>
      <w:r w:rsidR="004F69FE">
        <w:rPr>
          <w:rFonts w:ascii="Arial" w:hAnsi="Arial" w:hint="cs"/>
          <w:noProof w:val="0"/>
          <w:rtl/>
        </w:rPr>
        <w:t>'</w:t>
      </w:r>
      <w:r>
        <w:rPr>
          <w:rFonts w:ascii="Arial" w:hAnsi="Arial"/>
          <w:noProof w:val="0"/>
          <w:rtl/>
        </w:rPr>
        <w:t>, טענו המבקשים, כי אין בכך הודאה כלל,</w:t>
      </w:r>
      <w:r w:rsidR="004F69FE">
        <w:rPr>
          <w:rFonts w:ascii="Arial" w:hAnsi="Arial"/>
          <w:noProof w:val="0"/>
          <w:rtl/>
        </w:rPr>
        <w:t xml:space="preserve"> אלא שהכספים שהועברו לאחיין א</w:t>
      </w:r>
      <w:r w:rsidR="004F69FE">
        <w:rPr>
          <w:rFonts w:ascii="Arial" w:hAnsi="Arial" w:hint="cs"/>
          <w:noProof w:val="0"/>
          <w:rtl/>
        </w:rPr>
        <w:t>'</w:t>
      </w:r>
      <w:r>
        <w:rPr>
          <w:rFonts w:ascii="Arial" w:hAnsi="Arial"/>
          <w:noProof w:val="0"/>
          <w:rtl/>
        </w:rPr>
        <w:t xml:space="preserve"> הועברו למעלה מן הצורך ולמעשה יכלו להיוותר בידי הנתבעת אילו חפצה בכך ולתובע לא היה חלק בהם על פי דין.</w:t>
      </w:r>
    </w:p>
    <w:p w:rsidR="00E0396B" w:rsidRDefault="00E0396B" w:rsidP="00E0396B">
      <w:pPr>
        <w:pStyle w:val="ad"/>
        <w:spacing w:line="360" w:lineRule="auto"/>
        <w:jc w:val="both"/>
        <w:rPr>
          <w:rFonts w:ascii="Arial" w:hAnsi="Arial"/>
          <w:noProof w:val="0"/>
          <w:rtl/>
        </w:rPr>
      </w:pPr>
    </w:p>
    <w:p w:rsidR="00E0396B" w:rsidRDefault="00E0396B" w:rsidP="00E0396B">
      <w:pPr>
        <w:pStyle w:val="ad"/>
        <w:spacing w:line="360" w:lineRule="auto"/>
        <w:jc w:val="both"/>
        <w:rPr>
          <w:rFonts w:ascii="Arial" w:hAnsi="Arial"/>
          <w:noProof w:val="0"/>
          <w:rtl/>
        </w:rPr>
      </w:pPr>
      <w:r>
        <w:rPr>
          <w:rFonts w:ascii="Arial" w:hAnsi="Arial"/>
          <w:noProof w:val="0"/>
          <w:rtl/>
        </w:rPr>
        <w:t xml:space="preserve">במהלך הדיון, התובע הודה כי כספים ששייכים לו לשיטתו הושבו לו וכי ללא </w:t>
      </w:r>
      <w:r w:rsidR="003E65FD">
        <w:rPr>
          <w:rFonts w:ascii="Arial" w:hAnsi="Arial" w:hint="cs"/>
          <w:noProof w:val="0"/>
          <w:rtl/>
        </w:rPr>
        <w:t xml:space="preserve">מתן </w:t>
      </w:r>
      <w:r>
        <w:rPr>
          <w:rFonts w:ascii="Arial" w:hAnsi="Arial"/>
          <w:noProof w:val="0"/>
          <w:rtl/>
        </w:rPr>
        <w:t>הצווים הנדרשים</w:t>
      </w:r>
      <w:r w:rsidR="003E65FD">
        <w:rPr>
          <w:rFonts w:ascii="Arial" w:hAnsi="Arial" w:hint="cs"/>
          <w:noProof w:val="0"/>
          <w:rtl/>
        </w:rPr>
        <w:t>,</w:t>
      </w:r>
      <w:r>
        <w:rPr>
          <w:rFonts w:ascii="Arial" w:hAnsi="Arial"/>
          <w:noProof w:val="0"/>
          <w:rtl/>
        </w:rPr>
        <w:t xml:space="preserve"> אין בידיו כל ראיה ואף לא ראשית ראיה לטענות נשוא התביעה, למעט עדות שמועה נטענת.</w:t>
      </w:r>
    </w:p>
    <w:p w:rsidR="00E0396B" w:rsidRDefault="00E0396B" w:rsidP="00E0396B">
      <w:pPr>
        <w:pStyle w:val="ad"/>
        <w:spacing w:line="360" w:lineRule="auto"/>
        <w:jc w:val="both"/>
        <w:rPr>
          <w:rFonts w:ascii="Arial" w:hAnsi="Arial"/>
          <w:noProof w:val="0"/>
          <w:rtl/>
        </w:rPr>
      </w:pPr>
    </w:p>
    <w:p w:rsidR="00E0396B" w:rsidRDefault="00E0396B" w:rsidP="00E0396B">
      <w:pPr>
        <w:pStyle w:val="ad"/>
        <w:spacing w:line="360" w:lineRule="auto"/>
        <w:jc w:val="both"/>
        <w:rPr>
          <w:rFonts w:ascii="Arial" w:hAnsi="Arial"/>
          <w:noProof w:val="0"/>
          <w:rtl/>
        </w:rPr>
      </w:pPr>
      <w:r>
        <w:rPr>
          <w:rFonts w:ascii="Arial" w:hAnsi="Arial"/>
          <w:noProof w:val="0"/>
          <w:rtl/>
        </w:rPr>
        <w:t>המבקשים הוסיפו וטענו, כי יש להורות על סילוק התביעה על הסף כנגד הנתבע 2 וזאת בהעדר עילה ובהעדר יריבות כנגדו.</w:t>
      </w:r>
    </w:p>
    <w:p w:rsidR="00E0396B" w:rsidRDefault="00E0396B" w:rsidP="00E0396B">
      <w:pPr>
        <w:pStyle w:val="ad"/>
        <w:spacing w:line="360" w:lineRule="auto"/>
        <w:jc w:val="both"/>
        <w:rPr>
          <w:rFonts w:ascii="Arial" w:hAnsi="Arial"/>
          <w:noProof w:val="0"/>
          <w:rtl/>
        </w:rPr>
      </w:pPr>
    </w:p>
    <w:p w:rsidR="00E0396B" w:rsidRDefault="00E0396B" w:rsidP="00F536BA">
      <w:pPr>
        <w:pStyle w:val="ad"/>
        <w:numPr>
          <w:ilvl w:val="0"/>
          <w:numId w:val="3"/>
        </w:numPr>
        <w:spacing w:line="360" w:lineRule="auto"/>
        <w:jc w:val="both"/>
        <w:rPr>
          <w:rFonts w:ascii="Arial" w:hAnsi="Arial"/>
          <w:noProof w:val="0"/>
          <w:rtl/>
        </w:rPr>
      </w:pPr>
      <w:r>
        <w:rPr>
          <w:rFonts w:ascii="Arial" w:hAnsi="Arial"/>
          <w:noProof w:val="0"/>
          <w:rtl/>
        </w:rPr>
        <w:t xml:space="preserve">המשיב טען בסיכומיו, כי לא ידע לפני שנת 2017 על הכספים שהוריו חסכו במיוחד </w:t>
      </w:r>
      <w:r w:rsidR="00F536BA">
        <w:rPr>
          <w:rFonts w:ascii="Arial" w:hAnsi="Arial" w:hint="cs"/>
          <w:noProof w:val="0"/>
          <w:rtl/>
        </w:rPr>
        <w:t>עבורו</w:t>
      </w:r>
      <w:r>
        <w:rPr>
          <w:rFonts w:ascii="Arial" w:hAnsi="Arial"/>
          <w:noProof w:val="0"/>
          <w:rtl/>
        </w:rPr>
        <w:t xml:space="preserve"> בסך 400,000 ₪ וכי הדברים הובאו לידיעתו רק באמצעות העו"ס, </w:t>
      </w:r>
      <w:r w:rsidR="004F69FE">
        <w:rPr>
          <w:rFonts w:ascii="Arial" w:hAnsi="Arial"/>
          <w:noProof w:val="0"/>
          <w:rtl/>
        </w:rPr>
        <w:t>כאשר אמרה את הדברים לאחיינו א</w:t>
      </w:r>
      <w:r w:rsidR="004F69FE">
        <w:rPr>
          <w:rFonts w:ascii="Arial" w:hAnsi="Arial" w:hint="cs"/>
          <w:noProof w:val="0"/>
          <w:rtl/>
        </w:rPr>
        <w:t>'</w:t>
      </w:r>
      <w:r>
        <w:rPr>
          <w:rFonts w:ascii="Arial" w:hAnsi="Arial"/>
          <w:noProof w:val="0"/>
          <w:rtl/>
        </w:rPr>
        <w:t xml:space="preserve"> בנוכחותו ולשיטתו, לנוכח העובדה כי נודע לו </w:t>
      </w:r>
      <w:r w:rsidR="00F536BA">
        <w:rPr>
          <w:rFonts w:ascii="Arial" w:hAnsi="Arial" w:hint="cs"/>
          <w:noProof w:val="0"/>
          <w:rtl/>
        </w:rPr>
        <w:t xml:space="preserve">לכאורה </w:t>
      </w:r>
      <w:r>
        <w:rPr>
          <w:rFonts w:ascii="Arial" w:hAnsi="Arial"/>
          <w:noProof w:val="0"/>
          <w:rtl/>
        </w:rPr>
        <w:t>על הכספים רק בשנת 2017, הרי שממועד חשיפתו למידע זה ועד למועד הגשת התובענה לא חלפו 7 שנים ומשכך, התובענה לא התיישנה.</w:t>
      </w:r>
    </w:p>
    <w:p w:rsidR="00E0396B" w:rsidRDefault="00E0396B" w:rsidP="00E0396B">
      <w:pPr>
        <w:pStyle w:val="ad"/>
        <w:spacing w:line="360" w:lineRule="auto"/>
        <w:jc w:val="both"/>
        <w:rPr>
          <w:rFonts w:ascii="Arial" w:hAnsi="Arial"/>
          <w:noProof w:val="0"/>
        </w:rPr>
      </w:pPr>
    </w:p>
    <w:p w:rsidR="00E0396B" w:rsidRDefault="00E0396B" w:rsidP="00E0396B">
      <w:pPr>
        <w:pStyle w:val="ad"/>
        <w:spacing w:line="360" w:lineRule="auto"/>
        <w:jc w:val="both"/>
        <w:rPr>
          <w:rFonts w:ascii="Arial" w:hAnsi="Arial"/>
          <w:noProof w:val="0"/>
          <w:rtl/>
        </w:rPr>
      </w:pPr>
      <w:r>
        <w:rPr>
          <w:rFonts w:ascii="Arial" w:hAnsi="Arial"/>
          <w:noProof w:val="0"/>
          <w:rtl/>
        </w:rPr>
        <w:t>המשיב הוסיף, כי לנוכח הוראות סעיף 9 לחוק ההתיישנות, הרי שהודאות הנתבעת 1, אשר ניתנו בשתי הזדמנויות שונות – האחת בפני העו"ס במהלך כתיבת התסקיר ו</w:t>
      </w:r>
      <w:r w:rsidR="004F69FE">
        <w:rPr>
          <w:rFonts w:ascii="Arial" w:hAnsi="Arial"/>
          <w:noProof w:val="0"/>
          <w:rtl/>
        </w:rPr>
        <w:t>השניה במהלך השיחה עם האחיין א</w:t>
      </w:r>
      <w:r w:rsidR="004F69FE">
        <w:rPr>
          <w:rFonts w:ascii="Arial" w:hAnsi="Arial" w:hint="cs"/>
          <w:noProof w:val="0"/>
          <w:rtl/>
        </w:rPr>
        <w:t>'</w:t>
      </w:r>
      <w:r>
        <w:rPr>
          <w:rFonts w:ascii="Arial" w:hAnsi="Arial"/>
          <w:noProof w:val="0"/>
          <w:rtl/>
        </w:rPr>
        <w:t xml:space="preserve"> – עוצרות את מניין ההתיישנות ומתחילות אותה מחדש ממועד ההודאה הראשונה </w:t>
      </w:r>
      <w:r w:rsidR="00F536BA">
        <w:rPr>
          <w:rFonts w:ascii="Arial" w:hAnsi="Arial" w:hint="cs"/>
          <w:noProof w:val="0"/>
          <w:rtl/>
        </w:rPr>
        <w:t xml:space="preserve">הינה </w:t>
      </w:r>
      <w:r>
        <w:rPr>
          <w:rFonts w:ascii="Arial" w:hAnsi="Arial"/>
          <w:noProof w:val="0"/>
          <w:rtl/>
        </w:rPr>
        <w:t>בחודש אפריל 2017.</w:t>
      </w:r>
    </w:p>
    <w:p w:rsidR="00E0396B" w:rsidRDefault="00E0396B" w:rsidP="00E0396B">
      <w:pPr>
        <w:pStyle w:val="ad"/>
        <w:spacing w:line="360" w:lineRule="auto"/>
        <w:jc w:val="both"/>
        <w:rPr>
          <w:rFonts w:ascii="Arial" w:hAnsi="Arial"/>
          <w:noProof w:val="0"/>
          <w:rtl/>
        </w:rPr>
      </w:pPr>
    </w:p>
    <w:p w:rsidR="00E0396B" w:rsidRDefault="00E0396B" w:rsidP="00E0396B">
      <w:pPr>
        <w:spacing w:line="360" w:lineRule="auto"/>
        <w:jc w:val="both"/>
        <w:rPr>
          <w:rFonts w:ascii="Arial" w:hAnsi="Arial"/>
          <w:b/>
          <w:bCs/>
          <w:noProof w:val="0"/>
          <w:u w:val="single"/>
        </w:rPr>
      </w:pPr>
      <w:r>
        <w:rPr>
          <w:rFonts w:ascii="Arial" w:hAnsi="Arial"/>
          <w:b/>
          <w:bCs/>
          <w:noProof w:val="0"/>
          <w:u w:val="single"/>
          <w:rtl/>
        </w:rPr>
        <w:t>דיון והכרעה</w:t>
      </w:r>
    </w:p>
    <w:p w:rsidR="00E0396B" w:rsidRDefault="00E0396B" w:rsidP="00E0396B">
      <w:pPr>
        <w:pStyle w:val="ad"/>
        <w:spacing w:line="360" w:lineRule="auto"/>
        <w:jc w:val="both"/>
        <w:rPr>
          <w:rFonts w:ascii="Arial" w:hAnsi="Arial"/>
          <w:noProof w:val="0"/>
        </w:rPr>
      </w:pPr>
    </w:p>
    <w:p w:rsidR="00E0396B" w:rsidRDefault="00E0396B" w:rsidP="00E0396B">
      <w:pPr>
        <w:pStyle w:val="ad"/>
        <w:numPr>
          <w:ilvl w:val="0"/>
          <w:numId w:val="3"/>
        </w:numPr>
        <w:spacing w:line="360" w:lineRule="auto"/>
        <w:jc w:val="both"/>
        <w:rPr>
          <w:b/>
          <w:bCs/>
          <w:noProof w:val="0"/>
        </w:rPr>
      </w:pPr>
      <w:r>
        <w:rPr>
          <w:b/>
          <w:bCs/>
          <w:rtl/>
        </w:rPr>
        <w:t xml:space="preserve">לאחר ששמעתי את הצדדים בדיון מיום 11.9.2023 ולאחר עיון בכל אשר הוגש לפניי, באתי לכלל מסקנה כי יש לקבל את טענת ההתיישנות ולדחות את התביעה כנגד הנתבעים. </w:t>
      </w:r>
    </w:p>
    <w:p w:rsidR="00E0396B" w:rsidRDefault="00E0396B" w:rsidP="00E0396B">
      <w:pPr>
        <w:pStyle w:val="ad"/>
        <w:spacing w:line="360" w:lineRule="auto"/>
        <w:ind w:left="1080"/>
        <w:jc w:val="both"/>
        <w:rPr>
          <w:rFonts w:ascii="Arial" w:hAnsi="Arial" w:cs="Arial"/>
        </w:rPr>
      </w:pPr>
    </w:p>
    <w:p w:rsidR="00E0396B" w:rsidRDefault="00E0396B" w:rsidP="00E0396B">
      <w:pPr>
        <w:pStyle w:val="ad"/>
        <w:numPr>
          <w:ilvl w:val="0"/>
          <w:numId w:val="3"/>
        </w:numPr>
        <w:spacing w:line="360" w:lineRule="auto"/>
        <w:jc w:val="both"/>
        <w:rPr>
          <w:rFonts w:ascii="Arial" w:hAnsi="Arial" w:cs="Arial"/>
        </w:rPr>
      </w:pPr>
      <w:r>
        <w:rPr>
          <w:rtl/>
        </w:rPr>
        <w:t xml:space="preserve">כידוע, קולמוסים רבים נשברו בעניין הזהירות הנדרשת מצד בית המשפט בדונו בבקשות לסילוק על הסף, משתוצאת ההיעתרות להן היא נעילת דלתות בית המשפט בפני בעל דין – צעד קיצוני השמור למקרים חריגים בלבד. </w:t>
      </w:r>
    </w:p>
    <w:p w:rsidR="00E0396B" w:rsidRDefault="00E0396B" w:rsidP="00E0396B">
      <w:pPr>
        <w:pStyle w:val="ad"/>
        <w:spacing w:line="360" w:lineRule="auto"/>
        <w:ind w:left="1080"/>
        <w:jc w:val="both"/>
        <w:rPr>
          <w:rFonts w:ascii="Arial" w:hAnsi="Arial" w:cs="Arial"/>
        </w:rPr>
      </w:pPr>
    </w:p>
    <w:p w:rsidR="00E0396B" w:rsidRDefault="00E0396B" w:rsidP="00E0396B">
      <w:pPr>
        <w:pStyle w:val="ad"/>
        <w:numPr>
          <w:ilvl w:val="0"/>
          <w:numId w:val="3"/>
        </w:numPr>
        <w:spacing w:line="360" w:lineRule="auto"/>
        <w:jc w:val="both"/>
        <w:rPr>
          <w:rFonts w:ascii="Arial" w:hAnsi="Arial" w:cs="Arial"/>
        </w:rPr>
      </w:pPr>
      <w:r>
        <w:rPr>
          <w:rtl/>
        </w:rPr>
        <w:lastRenderedPageBreak/>
        <w:t>ראו בעניין זה פסיקת בית המשפט העליון: "</w:t>
      </w:r>
      <w:r>
        <w:rPr>
          <w:b/>
          <w:bCs/>
          <w:rtl/>
        </w:rPr>
        <w:t>מחיקת תובענה או דחייתה על הסף הן בגדר אמצעים, הננקטים בלית ברירה, ופתרון ענייני של כל מחלוקת, לגופה, הוא לעולם עדיף. רצוי, על כן, שבית המשפט יבכר תמיד דיון ענייני בפלוגתא על פני פתרון דיוני-פורמאליסטי...מכיוון שכך, קבעה הפסיקה מבחנים צרים וברורים ורק בהתקיימם ייאות בית המשפט לנקוט דרך מקוצרת והחלטית זו בלי להידרש לסוגיה שבמחלוקת גופא</w:t>
      </w:r>
      <w:r>
        <w:rPr>
          <w:rtl/>
        </w:rPr>
        <w:t xml:space="preserve">" (ע"א 50/89 </w:t>
      </w:r>
      <w:r>
        <w:rPr>
          <w:b/>
          <w:bCs/>
          <w:rtl/>
        </w:rPr>
        <w:t>פרופ' רות לוטן נ' פרופ' חיים אילתה ואח'</w:t>
      </w:r>
      <w:r>
        <w:rPr>
          <w:rtl/>
        </w:rPr>
        <w:t xml:space="preserve">, פ"ד מה(4)18). </w:t>
      </w:r>
    </w:p>
    <w:p w:rsidR="00E0396B" w:rsidRDefault="00E0396B" w:rsidP="00E0396B">
      <w:pPr>
        <w:pStyle w:val="ad"/>
        <w:spacing w:line="360" w:lineRule="auto"/>
        <w:ind w:left="1080"/>
        <w:jc w:val="both"/>
        <w:rPr>
          <w:rFonts w:ascii="Arial" w:hAnsi="Arial" w:cs="Arial"/>
          <w:rtl/>
        </w:rPr>
      </w:pPr>
    </w:p>
    <w:p w:rsidR="00E0396B" w:rsidRDefault="00E0396B" w:rsidP="00E0396B">
      <w:pPr>
        <w:pStyle w:val="ad"/>
        <w:numPr>
          <w:ilvl w:val="0"/>
          <w:numId w:val="3"/>
        </w:numPr>
        <w:spacing w:line="360" w:lineRule="auto"/>
        <w:jc w:val="both"/>
        <w:rPr>
          <w:rFonts w:ascii="Arial" w:hAnsi="Arial" w:cs="Arial"/>
        </w:rPr>
      </w:pPr>
      <w:r>
        <w:rPr>
          <w:rtl/>
        </w:rPr>
        <w:t>לפיכך ועפ"י ההלכה הפסוקה, כאשר קיימת אפשרות, ולו קלושה, שעל פי העובדות המבססות עילת התביעה יזכה התובע בסעד המבוקש על ידו, לא תימנע ממנו הכניסה בשערי בית משפט [וראו לעניין זה: ע</w:t>
      </w:r>
      <w:r>
        <w:rPr>
          <w:b/>
          <w:bCs/>
          <w:rtl/>
        </w:rPr>
        <w:t>"א 642/89 עזבון המנוח שניידר ז"ל נגד עיריית חיפה</w:t>
      </w:r>
      <w:r>
        <w:rPr>
          <w:rtl/>
        </w:rPr>
        <w:t xml:space="preserve">, פ"ד מו(1) 470, 476-477, </w:t>
      </w:r>
      <w:r>
        <w:rPr>
          <w:b/>
          <w:bCs/>
          <w:rtl/>
        </w:rPr>
        <w:t>ע"א 35/83 חסין נגד פלדמן,</w:t>
      </w:r>
      <w:r>
        <w:rPr>
          <w:rtl/>
        </w:rPr>
        <w:t xml:space="preserve"> פ"ד לז(4), 721 (1983); י' זוסמן, סדר הדין האזרחי (מהדורה שביעית- 1995) בעמ' 387].</w:t>
      </w:r>
    </w:p>
    <w:p w:rsidR="00E0396B" w:rsidRDefault="00E0396B" w:rsidP="00E0396B">
      <w:pPr>
        <w:pStyle w:val="ad"/>
        <w:spacing w:line="360" w:lineRule="auto"/>
        <w:ind w:left="1080"/>
        <w:jc w:val="both"/>
        <w:rPr>
          <w:rFonts w:ascii="Arial" w:hAnsi="Arial" w:cs="Arial"/>
        </w:rPr>
      </w:pPr>
    </w:p>
    <w:p w:rsidR="00E0396B" w:rsidRDefault="00E0396B" w:rsidP="00E0396B">
      <w:pPr>
        <w:pStyle w:val="ad"/>
        <w:numPr>
          <w:ilvl w:val="0"/>
          <w:numId w:val="3"/>
        </w:numPr>
        <w:spacing w:line="360" w:lineRule="auto"/>
        <w:jc w:val="both"/>
        <w:rPr>
          <w:rFonts w:ascii="Arial" w:hAnsi="Arial" w:cs="Arial"/>
        </w:rPr>
      </w:pPr>
      <w:r>
        <w:rPr>
          <w:rtl/>
        </w:rPr>
        <w:t xml:space="preserve">סילוק תביעה על הסף מוסדר בתקנות 41 -45 לתקנות סדר הדין האזרחי, תשע"ט – 2018 (להלן: </w:t>
      </w:r>
      <w:r>
        <w:rPr>
          <w:b/>
          <w:bCs/>
          <w:rtl/>
        </w:rPr>
        <w:t>"תקנות סדר הדין האזרחי"</w:t>
      </w:r>
      <w:r>
        <w:rPr>
          <w:rtl/>
        </w:rPr>
        <w:t>). נביא להלן את הרלוונטיות לענייננו:</w:t>
      </w:r>
    </w:p>
    <w:p w:rsidR="00E0396B" w:rsidRDefault="00E0396B" w:rsidP="00E0396B">
      <w:pPr>
        <w:pStyle w:val="ad"/>
        <w:spacing w:line="360" w:lineRule="auto"/>
        <w:ind w:left="1080"/>
        <w:jc w:val="both"/>
        <w:rPr>
          <w:b/>
          <w:bCs/>
        </w:rPr>
      </w:pPr>
    </w:p>
    <w:p w:rsidR="00E0396B" w:rsidRDefault="00E0396B" w:rsidP="00E0396B">
      <w:pPr>
        <w:pStyle w:val="ad"/>
        <w:spacing w:line="360" w:lineRule="auto"/>
        <w:ind w:left="1080"/>
        <w:jc w:val="both"/>
        <w:rPr>
          <w:rFonts w:ascii="Arial" w:hAnsi="Arial" w:cs="Arial"/>
          <w:b/>
          <w:bCs/>
          <w:rtl/>
        </w:rPr>
      </w:pPr>
      <w:r>
        <w:rPr>
          <w:b/>
          <w:bCs/>
          <w:rtl/>
        </w:rPr>
        <w:t xml:space="preserve">"מחיקה על הסף  </w:t>
      </w:r>
    </w:p>
    <w:p w:rsidR="00E0396B" w:rsidRDefault="00E0396B" w:rsidP="00E0396B">
      <w:pPr>
        <w:pStyle w:val="ad"/>
        <w:spacing w:line="360" w:lineRule="auto"/>
        <w:ind w:left="1080"/>
        <w:jc w:val="both"/>
        <w:rPr>
          <w:rFonts w:ascii="Arial" w:hAnsi="Arial" w:cs="Arial"/>
          <w:b/>
          <w:bCs/>
        </w:rPr>
      </w:pPr>
      <w:r>
        <w:rPr>
          <w:b/>
          <w:bCs/>
          <w:rtl/>
        </w:rPr>
        <w:t xml:space="preserve">41(א) בית המשפט רשאי להורות על מחיקת כתב תביעה בכל עת על יסוד אחד מאלה: </w:t>
      </w:r>
    </w:p>
    <w:p w:rsidR="00E0396B" w:rsidRDefault="00E0396B" w:rsidP="00E0396B">
      <w:pPr>
        <w:pStyle w:val="ad"/>
        <w:spacing w:line="360" w:lineRule="auto"/>
        <w:ind w:left="1080"/>
        <w:jc w:val="both"/>
        <w:rPr>
          <w:rFonts w:ascii="Arial" w:hAnsi="Arial" w:cs="Arial"/>
          <w:b/>
          <w:bCs/>
        </w:rPr>
      </w:pPr>
      <w:r>
        <w:rPr>
          <w:b/>
          <w:bCs/>
          <w:rtl/>
        </w:rPr>
        <w:t>(1) כתב התביעה אינו מעלה עילת תביעה;</w:t>
      </w:r>
    </w:p>
    <w:p w:rsidR="00E0396B" w:rsidRDefault="00E0396B" w:rsidP="00E0396B">
      <w:pPr>
        <w:pStyle w:val="ad"/>
        <w:spacing w:line="360" w:lineRule="auto"/>
        <w:ind w:left="1080"/>
        <w:jc w:val="both"/>
        <w:rPr>
          <w:rFonts w:ascii="Arial" w:hAnsi="Arial" w:cs="Arial"/>
          <w:b/>
          <w:bCs/>
          <w:rtl/>
        </w:rPr>
      </w:pPr>
      <w:r>
        <w:rPr>
          <w:b/>
          <w:bCs/>
          <w:rtl/>
        </w:rPr>
        <w:t>(2) מכתב התביעה עולה כי התביעה היא טרדנית או קנטרנית;</w:t>
      </w:r>
    </w:p>
    <w:p w:rsidR="00E0396B" w:rsidRDefault="00E0396B" w:rsidP="00E0396B">
      <w:pPr>
        <w:pStyle w:val="ad"/>
        <w:spacing w:line="360" w:lineRule="auto"/>
        <w:ind w:left="1080"/>
        <w:jc w:val="both"/>
        <w:rPr>
          <w:rFonts w:ascii="Arial" w:hAnsi="Arial" w:cs="Arial"/>
          <w:b/>
          <w:bCs/>
        </w:rPr>
      </w:pPr>
      <w:r>
        <w:rPr>
          <w:b/>
          <w:bCs/>
          <w:rtl/>
        </w:rPr>
        <w:t>(3) התובע מתמיד באופן שאינו מניח את הדעת, להימנע מלקיים הוראות מתקנות אלה או נמנע מלקיים החלטה או הוראה של בית המשפט.</w:t>
      </w:r>
    </w:p>
    <w:p w:rsidR="00E0396B" w:rsidRDefault="00E0396B" w:rsidP="00E0396B">
      <w:pPr>
        <w:pStyle w:val="ad"/>
        <w:spacing w:line="360" w:lineRule="auto"/>
        <w:ind w:left="1080"/>
        <w:jc w:val="both"/>
        <w:rPr>
          <w:rFonts w:ascii="Arial" w:hAnsi="Arial" w:cs="Arial"/>
          <w:b/>
          <w:bCs/>
        </w:rPr>
      </w:pPr>
      <w:r>
        <w:rPr>
          <w:b/>
          <w:bCs/>
          <w:rtl/>
        </w:rPr>
        <w:t>(4) כל נימוק אחר שלפיו הוא סבור שראוי ונכון למחוק את התביעה.</w:t>
      </w:r>
    </w:p>
    <w:p w:rsidR="00E0396B" w:rsidRDefault="00E0396B" w:rsidP="00E0396B">
      <w:pPr>
        <w:pStyle w:val="ad"/>
        <w:spacing w:line="360" w:lineRule="auto"/>
        <w:ind w:left="1080"/>
        <w:jc w:val="both"/>
        <w:rPr>
          <w:rFonts w:ascii="Arial" w:hAnsi="Arial" w:cs="Arial"/>
          <w:b/>
          <w:bCs/>
        </w:rPr>
      </w:pPr>
      <w:r>
        <w:rPr>
          <w:b/>
          <w:bCs/>
          <w:rtl/>
        </w:rPr>
        <w:t>....</w:t>
      </w:r>
    </w:p>
    <w:p w:rsidR="00E0396B" w:rsidRDefault="00E0396B" w:rsidP="00E0396B">
      <w:pPr>
        <w:pStyle w:val="ad"/>
        <w:spacing w:line="360" w:lineRule="auto"/>
        <w:ind w:left="1080"/>
        <w:jc w:val="both"/>
        <w:rPr>
          <w:b/>
          <w:bCs/>
        </w:rPr>
      </w:pPr>
      <w:r>
        <w:rPr>
          <w:b/>
          <w:bCs/>
          <w:rtl/>
        </w:rPr>
        <w:t>מחיקה מחמת שימוש לרעה בהליכי משפט</w:t>
      </w:r>
    </w:p>
    <w:p w:rsidR="00E0396B" w:rsidRDefault="00E0396B" w:rsidP="00E0396B">
      <w:pPr>
        <w:pStyle w:val="ad"/>
        <w:spacing w:line="360" w:lineRule="auto"/>
        <w:ind w:left="1080"/>
        <w:jc w:val="both"/>
        <w:rPr>
          <w:rFonts w:ascii="Arial" w:hAnsi="Arial" w:cs="Arial"/>
          <w:b/>
          <w:bCs/>
        </w:rPr>
      </w:pPr>
      <w:r>
        <w:rPr>
          <w:b/>
          <w:bCs/>
          <w:rtl/>
        </w:rPr>
        <w:t>42. סבר בית המשפט שבעל דין עשה שימוש לרעה בהליכי משפט רשאי הוא, מטעם זה בלבד, למחוק את כתב טענותיו כולו או מקצתו".</w:t>
      </w:r>
    </w:p>
    <w:p w:rsidR="00E0396B" w:rsidRDefault="00E0396B" w:rsidP="00E0396B">
      <w:pPr>
        <w:pStyle w:val="ad"/>
        <w:spacing w:line="360" w:lineRule="auto"/>
        <w:ind w:left="1080"/>
        <w:jc w:val="both"/>
        <w:rPr>
          <w:rFonts w:ascii="Arial" w:hAnsi="Arial" w:cs="Arial"/>
          <w:b/>
          <w:bCs/>
        </w:rPr>
      </w:pPr>
      <w:r>
        <w:rPr>
          <w:b/>
          <w:bCs/>
          <w:rtl/>
        </w:rPr>
        <w:t>דחיית תביעה במקרים מיוחדים</w:t>
      </w:r>
    </w:p>
    <w:p w:rsidR="00E0396B" w:rsidRDefault="00E0396B" w:rsidP="00E0396B">
      <w:pPr>
        <w:pStyle w:val="ad"/>
        <w:spacing w:line="360" w:lineRule="auto"/>
        <w:ind w:left="1080"/>
        <w:jc w:val="both"/>
        <w:rPr>
          <w:rFonts w:ascii="Arial" w:hAnsi="Arial" w:cs="Arial"/>
        </w:rPr>
      </w:pPr>
      <w:r>
        <w:rPr>
          <w:b/>
          <w:bCs/>
          <w:rtl/>
        </w:rPr>
        <w:t>43. בית המשפט רשאי לדחות תביעה בכל עת בשל קיומו של מעשה בית דין, התיישנות או מכל נימוק אחר, שלפיו הוא סבור כי ראוי ונכון לדחות את התביעה</w:t>
      </w:r>
      <w:r>
        <w:rPr>
          <w:rtl/>
        </w:rPr>
        <w:t>".</w:t>
      </w:r>
    </w:p>
    <w:p w:rsidR="00E0396B" w:rsidRDefault="00E0396B" w:rsidP="00E0396B">
      <w:pPr>
        <w:pStyle w:val="ad"/>
        <w:spacing w:line="360" w:lineRule="auto"/>
        <w:ind w:left="1080"/>
        <w:jc w:val="both"/>
        <w:rPr>
          <w:rFonts w:ascii="Arial" w:hAnsi="Arial" w:cs="Arial"/>
        </w:rPr>
      </w:pPr>
    </w:p>
    <w:p w:rsidR="00E0396B" w:rsidRDefault="00E0396B" w:rsidP="00E0396B">
      <w:pPr>
        <w:pStyle w:val="ad"/>
        <w:numPr>
          <w:ilvl w:val="0"/>
          <w:numId w:val="3"/>
        </w:numPr>
        <w:spacing w:line="360" w:lineRule="auto"/>
        <w:jc w:val="both"/>
        <w:rPr>
          <w:rFonts w:ascii="Arial" w:hAnsi="Arial" w:cs="Arial"/>
          <w:rtl/>
        </w:rPr>
      </w:pPr>
      <w:r>
        <w:rPr>
          <w:rtl/>
        </w:rPr>
        <w:lastRenderedPageBreak/>
        <w:t xml:space="preserve">עינינו הרואות, כי במסגרת תקנות סדר הדין האזרחי ובהלימה לעקרונות היסוד שבבסיסן, הורחבה סמכותו של בית המשפט לסלק תובענה על הסף ועמה הורחב גם מתחם שיקול הדעת שלו. </w:t>
      </w:r>
    </w:p>
    <w:p w:rsidR="00E0396B" w:rsidRDefault="00E0396B" w:rsidP="00E0396B">
      <w:pPr>
        <w:pStyle w:val="ad"/>
        <w:spacing w:line="360" w:lineRule="auto"/>
        <w:ind w:left="1080"/>
        <w:jc w:val="both"/>
        <w:rPr>
          <w:rFonts w:ascii="Arial" w:hAnsi="Arial" w:cs="Arial"/>
        </w:rPr>
      </w:pPr>
    </w:p>
    <w:p w:rsidR="00E0396B" w:rsidRDefault="00E0396B" w:rsidP="00E0396B">
      <w:pPr>
        <w:pStyle w:val="ad"/>
        <w:numPr>
          <w:ilvl w:val="0"/>
          <w:numId w:val="3"/>
        </w:numPr>
        <w:spacing w:line="360" w:lineRule="auto"/>
        <w:jc w:val="both"/>
        <w:rPr>
          <w:rFonts w:ascii="Arial" w:hAnsi="Arial" w:cs="Arial"/>
        </w:rPr>
      </w:pPr>
      <w:r>
        <w:rPr>
          <w:rtl/>
        </w:rPr>
        <w:t xml:space="preserve">כך, בין השאר, רשימת העילות לסילוק תביעה על הסף אינה סגורה והמחוקק העניק לבית המשפט הסמכות לעשות כן בהתבסס על </w:t>
      </w:r>
      <w:r>
        <w:rPr>
          <w:b/>
          <w:bCs/>
          <w:rtl/>
        </w:rPr>
        <w:t>"כל נימוק אחר"</w:t>
      </w:r>
      <w:r w:rsidR="00F536BA">
        <w:rPr>
          <w:rtl/>
        </w:rPr>
        <w:t>, אשר לדעת</w:t>
      </w:r>
      <w:r w:rsidR="00F536BA">
        <w:rPr>
          <w:rFonts w:hint="cs"/>
          <w:rtl/>
        </w:rPr>
        <w:t xml:space="preserve"> ביהמ"ש</w:t>
      </w:r>
      <w:r>
        <w:rPr>
          <w:rtl/>
        </w:rPr>
        <w:t xml:space="preserve"> מצדיק זאת. </w:t>
      </w:r>
    </w:p>
    <w:p w:rsidR="00E0396B" w:rsidRPr="00F536BA" w:rsidRDefault="00E0396B" w:rsidP="00E0396B">
      <w:pPr>
        <w:pStyle w:val="ad"/>
        <w:spacing w:line="360" w:lineRule="auto"/>
        <w:ind w:left="1080"/>
        <w:jc w:val="both"/>
        <w:rPr>
          <w:rFonts w:ascii="Arial" w:hAnsi="Arial" w:cs="Arial"/>
        </w:rPr>
      </w:pPr>
    </w:p>
    <w:p w:rsidR="00E0396B" w:rsidRDefault="00E0396B" w:rsidP="00E0396B">
      <w:pPr>
        <w:pStyle w:val="ad"/>
        <w:numPr>
          <w:ilvl w:val="0"/>
          <w:numId w:val="3"/>
        </w:numPr>
        <w:spacing w:line="360" w:lineRule="auto"/>
        <w:jc w:val="both"/>
        <w:rPr>
          <w:rFonts w:ascii="Arial" w:hAnsi="Arial" w:cs="Arial"/>
        </w:rPr>
      </w:pPr>
      <w:r>
        <w:rPr>
          <w:rtl/>
        </w:rPr>
        <w:t xml:space="preserve">למען הסר ספק יובהר, כי אין באמור משום התעלמות מן ההלכה הפסוקה אשר הובאה לעיל חלילה, וודאי אין בכך כדי להכשיר שימוש נמהר ותדיר בסעד של סילוק תביעה על הסף. זכות הגישה לערכאות הייתה ועודנה זכות יסוד, שיש להגן עליה ולכבדה, ומשכך שומה עדיין על בית המשפט להפעיל הסמכות הנתונה לו לסילוק תביעה על הסף במשורה ובמקרים חריגים המצדיקים זאת בלבד. </w:t>
      </w:r>
    </w:p>
    <w:p w:rsidR="00E0396B" w:rsidRDefault="00E0396B" w:rsidP="00E0396B">
      <w:pPr>
        <w:pStyle w:val="ad"/>
        <w:spacing w:line="360" w:lineRule="auto"/>
        <w:ind w:left="1080"/>
        <w:jc w:val="both"/>
        <w:rPr>
          <w:rFonts w:ascii="Arial" w:hAnsi="Arial" w:cs="Arial"/>
        </w:rPr>
      </w:pPr>
    </w:p>
    <w:p w:rsidR="00E0396B" w:rsidRDefault="00E0396B" w:rsidP="00E0396B">
      <w:pPr>
        <w:pStyle w:val="ad"/>
        <w:numPr>
          <w:ilvl w:val="0"/>
          <w:numId w:val="3"/>
        </w:numPr>
        <w:spacing w:line="360" w:lineRule="auto"/>
        <w:jc w:val="both"/>
        <w:rPr>
          <w:rFonts w:ascii="Arial" w:hAnsi="Arial" w:cs="Arial"/>
        </w:rPr>
      </w:pPr>
      <w:r>
        <w:rPr>
          <w:rtl/>
        </w:rPr>
        <w:t>כפי שיפורט להלן, מצאתי כי המקרה דנא על נסיבותיו הקונקרטיות בא בגדר המקרים החריגים בהם יש הצדקה עפ"י דין להורות על סילוק התביעה על הסף.</w:t>
      </w:r>
    </w:p>
    <w:p w:rsidR="00E0396B" w:rsidRDefault="00E0396B" w:rsidP="00E0396B">
      <w:pPr>
        <w:pStyle w:val="ad"/>
        <w:rPr>
          <w:rFonts w:ascii="Arial" w:hAnsi="Arial" w:cs="Arial"/>
        </w:rPr>
      </w:pPr>
    </w:p>
    <w:p w:rsidR="00E0396B" w:rsidRDefault="00E0396B" w:rsidP="00E0396B">
      <w:pPr>
        <w:pStyle w:val="ad"/>
        <w:numPr>
          <w:ilvl w:val="0"/>
          <w:numId w:val="3"/>
        </w:numPr>
        <w:spacing w:line="360" w:lineRule="auto"/>
        <w:jc w:val="both"/>
        <w:rPr>
          <w:rFonts w:ascii="Arial" w:hAnsi="Arial"/>
          <w:noProof w:val="0"/>
        </w:rPr>
      </w:pPr>
      <w:r>
        <w:rPr>
          <w:rFonts w:ascii="Arial" w:hAnsi="Arial"/>
          <w:noProof w:val="0"/>
          <w:rtl/>
        </w:rPr>
        <w:t xml:space="preserve">באשר לטענת ההתיישנות, סעיף 5 לחוק התיישנות, תשי"ח – 1958 (להלן: </w:t>
      </w:r>
      <w:r>
        <w:rPr>
          <w:rFonts w:ascii="Arial" w:hAnsi="Arial"/>
          <w:b/>
          <w:bCs/>
          <w:noProof w:val="0"/>
          <w:rtl/>
        </w:rPr>
        <w:t>"חוק ההתיישנות"</w:t>
      </w:r>
      <w:r>
        <w:rPr>
          <w:rFonts w:ascii="Arial" w:hAnsi="Arial"/>
          <w:noProof w:val="0"/>
          <w:rtl/>
        </w:rPr>
        <w:t xml:space="preserve">), קובע: </w:t>
      </w:r>
    </w:p>
    <w:p w:rsidR="00E0396B" w:rsidRDefault="00E0396B" w:rsidP="00E0396B">
      <w:pPr>
        <w:pStyle w:val="ad"/>
        <w:rPr>
          <w:rFonts w:ascii="Arial" w:hAnsi="Arial"/>
          <w:noProof w:val="0"/>
        </w:rPr>
      </w:pPr>
    </w:p>
    <w:p w:rsidR="00E0396B" w:rsidRDefault="00E0396B" w:rsidP="00E0396B">
      <w:pPr>
        <w:pStyle w:val="ad"/>
        <w:jc w:val="both"/>
        <w:rPr>
          <w:rFonts w:ascii="Arial" w:hAnsi="Arial"/>
          <w:b/>
          <w:bCs/>
          <w:noProof w:val="0"/>
        </w:rPr>
      </w:pPr>
      <w:r>
        <w:rPr>
          <w:rFonts w:ascii="Arial" w:hAnsi="Arial"/>
          <w:b/>
          <w:bCs/>
          <w:noProof w:val="0"/>
          <w:rtl/>
        </w:rPr>
        <w:t>"התקופה שבה מתיישנת תביעה שלא הוגשה עליה תובענה (להלן – תקופת ההתיישנות) היא –</w:t>
      </w:r>
    </w:p>
    <w:p w:rsidR="00E0396B" w:rsidRDefault="00E0396B" w:rsidP="00E0396B">
      <w:pPr>
        <w:pStyle w:val="ad"/>
        <w:jc w:val="both"/>
        <w:rPr>
          <w:rFonts w:ascii="Arial" w:hAnsi="Arial"/>
          <w:b/>
          <w:bCs/>
          <w:noProof w:val="0"/>
          <w:rtl/>
        </w:rPr>
      </w:pPr>
      <w:r>
        <w:rPr>
          <w:rFonts w:ascii="Arial" w:hAnsi="Arial"/>
          <w:b/>
          <w:bCs/>
          <w:noProof w:val="0"/>
          <w:rtl/>
        </w:rPr>
        <w:t>(1)</w:t>
      </w:r>
      <w:r>
        <w:rPr>
          <w:rFonts w:ascii="Arial" w:hAnsi="Arial"/>
          <w:b/>
          <w:bCs/>
          <w:noProof w:val="0"/>
          <w:rtl/>
        </w:rPr>
        <w:tab/>
        <w:t>בשאינו מקרקעין – שבע שנים;</w:t>
      </w:r>
    </w:p>
    <w:p w:rsidR="00E0396B" w:rsidRDefault="00E0396B" w:rsidP="00276783">
      <w:pPr>
        <w:pStyle w:val="ad"/>
        <w:ind w:left="1440" w:hanging="720"/>
        <w:jc w:val="both"/>
        <w:rPr>
          <w:rFonts w:ascii="Arial" w:hAnsi="Arial"/>
          <w:b/>
          <w:bCs/>
          <w:noProof w:val="0"/>
        </w:rPr>
      </w:pPr>
      <w:r>
        <w:rPr>
          <w:rFonts w:ascii="Arial" w:hAnsi="Arial"/>
          <w:b/>
          <w:bCs/>
          <w:noProof w:val="0"/>
          <w:rtl/>
        </w:rPr>
        <w:t>(2)</w:t>
      </w:r>
      <w:r>
        <w:rPr>
          <w:rFonts w:ascii="Arial" w:hAnsi="Arial"/>
          <w:b/>
          <w:bCs/>
          <w:noProof w:val="0"/>
          <w:rtl/>
        </w:rPr>
        <w:tab/>
      </w:r>
      <w:r w:rsidR="00276783">
        <w:rPr>
          <w:rFonts w:ascii="Arial" w:hAnsi="Arial" w:hint="cs"/>
          <w:b/>
          <w:bCs/>
          <w:noProof w:val="0"/>
          <w:rtl/>
        </w:rPr>
        <w:t>...</w:t>
      </w:r>
      <w:r>
        <w:rPr>
          <w:rFonts w:ascii="Arial" w:hAnsi="Arial"/>
          <w:b/>
          <w:bCs/>
          <w:noProof w:val="0"/>
          <w:rtl/>
        </w:rPr>
        <w:t>".</w:t>
      </w:r>
    </w:p>
    <w:p w:rsidR="00E0396B" w:rsidRDefault="00E0396B" w:rsidP="00E0396B">
      <w:pPr>
        <w:pStyle w:val="ad"/>
        <w:rPr>
          <w:rFonts w:ascii="Arial" w:hAnsi="Arial"/>
          <w:noProof w:val="0"/>
        </w:rPr>
      </w:pPr>
    </w:p>
    <w:p w:rsidR="00E0396B" w:rsidRDefault="00E0396B" w:rsidP="00E0396B">
      <w:pPr>
        <w:pStyle w:val="ad"/>
        <w:rPr>
          <w:rFonts w:ascii="Arial" w:hAnsi="Arial"/>
          <w:noProof w:val="0"/>
        </w:rPr>
      </w:pPr>
    </w:p>
    <w:p w:rsidR="00E47871" w:rsidRPr="004F69FE" w:rsidRDefault="00E0396B" w:rsidP="004F69FE">
      <w:pPr>
        <w:pStyle w:val="ad"/>
        <w:numPr>
          <w:ilvl w:val="0"/>
          <w:numId w:val="3"/>
        </w:numPr>
        <w:spacing w:line="360" w:lineRule="auto"/>
        <w:jc w:val="both"/>
        <w:rPr>
          <w:rFonts w:ascii="Arial" w:hAnsi="Arial"/>
          <w:b/>
          <w:bCs/>
          <w:noProof w:val="0"/>
          <w:rtl/>
        </w:rPr>
      </w:pPr>
      <w:r>
        <w:rPr>
          <w:rFonts w:ascii="Arial" w:hAnsi="Arial"/>
          <w:noProof w:val="0"/>
          <w:rtl/>
        </w:rPr>
        <w:t xml:space="preserve">סעיף 6 לחוק ההתיישנות קובע, כי </w:t>
      </w:r>
      <w:r>
        <w:rPr>
          <w:rFonts w:ascii="Arial" w:hAnsi="Arial"/>
          <w:b/>
          <w:bCs/>
          <w:noProof w:val="0"/>
          <w:rtl/>
        </w:rPr>
        <w:t>תקופת ההתיישנות מתחילה ביום שבו נולדה עילת התובענה.</w:t>
      </w:r>
    </w:p>
    <w:p w:rsidR="00E47871" w:rsidRDefault="00E47871" w:rsidP="00E47871">
      <w:pPr>
        <w:pStyle w:val="ad"/>
        <w:spacing w:line="360" w:lineRule="auto"/>
        <w:jc w:val="both"/>
        <w:rPr>
          <w:rFonts w:ascii="Arial" w:hAnsi="Arial"/>
          <w:b/>
          <w:bCs/>
          <w:noProof w:val="0"/>
          <w:rtl/>
        </w:rPr>
      </w:pPr>
    </w:p>
    <w:p w:rsidR="00E47871" w:rsidRDefault="00E47871" w:rsidP="00E47871">
      <w:pPr>
        <w:spacing w:line="360" w:lineRule="auto"/>
        <w:ind w:left="720"/>
        <w:jc w:val="both"/>
        <w:rPr>
          <w:rFonts w:ascii="Arial" w:hAnsi="Arial"/>
          <w:noProof w:val="0"/>
          <w:rtl/>
        </w:rPr>
      </w:pPr>
      <w:r>
        <w:rPr>
          <w:rFonts w:ascii="Arial" w:hAnsi="Arial"/>
          <w:noProof w:val="0"/>
          <w:rtl/>
        </w:rPr>
        <w:t xml:space="preserve">עילת התובענה בענייננו הינה </w:t>
      </w:r>
      <w:r>
        <w:rPr>
          <w:rFonts w:ascii="Arial" w:hAnsi="Arial" w:hint="cs"/>
          <w:noProof w:val="0"/>
          <w:rtl/>
        </w:rPr>
        <w:t>מועד "גניבת"</w:t>
      </w:r>
      <w:r>
        <w:rPr>
          <w:rFonts w:ascii="Arial" w:hAnsi="Arial"/>
          <w:noProof w:val="0"/>
          <w:rtl/>
        </w:rPr>
        <w:t xml:space="preserve"> הכספים </w:t>
      </w:r>
      <w:r>
        <w:rPr>
          <w:rFonts w:ascii="Arial" w:hAnsi="Arial" w:hint="cs"/>
          <w:noProof w:val="0"/>
          <w:rtl/>
        </w:rPr>
        <w:t>לכאורה</w:t>
      </w:r>
      <w:r>
        <w:rPr>
          <w:rFonts w:ascii="Arial" w:hAnsi="Arial"/>
          <w:noProof w:val="0"/>
          <w:rtl/>
        </w:rPr>
        <w:t xml:space="preserve"> ע"י הנתבעת 1 מחשבונות הבנק של הוריה. אין מחלוקת, כי טענות אלו נטענו על ידי האם במספר הזדמנויות שונות ובין היתר, במסגרת מכתבים שונים. אין מחלוקת גם, כי חשבונות הבנק השונים שניהלה הנתבעת 1 עבור הוריה נסגרו זה מכבר, כאשר האחרון שבהם נסגר ביום 7.3.2014. ברי, כי במועדים אלה נולדה עילת התביעה הנטענת לאם המנוחה וממועדים אלה חלפו למעלה משבע שנים עד להגשת התביעה, שהוגשה ביום 16.2.2023.</w:t>
      </w:r>
    </w:p>
    <w:p w:rsidR="00E47871" w:rsidRDefault="00E47871" w:rsidP="00E47871">
      <w:pPr>
        <w:pStyle w:val="ad"/>
        <w:spacing w:line="360" w:lineRule="auto"/>
        <w:jc w:val="both"/>
        <w:rPr>
          <w:rFonts w:ascii="Arial" w:hAnsi="Arial"/>
          <w:b/>
          <w:bCs/>
          <w:noProof w:val="0"/>
        </w:rPr>
      </w:pPr>
    </w:p>
    <w:p w:rsidR="00E47871" w:rsidRPr="00E47871" w:rsidRDefault="00E0396B" w:rsidP="00E47871">
      <w:pPr>
        <w:pStyle w:val="ad"/>
        <w:numPr>
          <w:ilvl w:val="0"/>
          <w:numId w:val="3"/>
        </w:numPr>
        <w:spacing w:line="360" w:lineRule="auto"/>
        <w:jc w:val="both"/>
        <w:rPr>
          <w:rFonts w:ascii="Arial" w:hAnsi="Arial"/>
          <w:b/>
          <w:bCs/>
          <w:noProof w:val="0"/>
        </w:rPr>
      </w:pPr>
      <w:r w:rsidRPr="00E47871">
        <w:rPr>
          <w:rFonts w:ascii="Arial" w:hAnsi="Arial"/>
          <w:noProof w:val="0"/>
          <w:rtl/>
        </w:rPr>
        <w:lastRenderedPageBreak/>
        <w:t>חרף האמור, טען התובע כי העילה עליה הוא מתבסס נולדה במועד בו ניתנו הודאות הנתבעת 1, בשתי הזדמנויות שונות, כאשר הראשונה שבהן באפרי</w:t>
      </w:r>
      <w:r w:rsidR="00276783" w:rsidRPr="00E47871">
        <w:rPr>
          <w:rFonts w:ascii="Arial" w:hAnsi="Arial"/>
          <w:noProof w:val="0"/>
          <w:rtl/>
        </w:rPr>
        <w:t>ל 2017 ולשיטתו הודאות אלה מהוו</w:t>
      </w:r>
      <w:r w:rsidR="00276783" w:rsidRPr="00E47871">
        <w:rPr>
          <w:rFonts w:ascii="Arial" w:hAnsi="Arial" w:hint="cs"/>
          <w:noProof w:val="0"/>
          <w:rtl/>
        </w:rPr>
        <w:t>ת</w:t>
      </w:r>
      <w:r w:rsidRPr="00E47871">
        <w:rPr>
          <w:rFonts w:ascii="Arial" w:hAnsi="Arial"/>
          <w:noProof w:val="0"/>
          <w:rtl/>
        </w:rPr>
        <w:t xml:space="preserve"> הודאה בקיום זכות התובע, כאמור בסעיף 9 לחוק ההתיישנות:</w:t>
      </w:r>
    </w:p>
    <w:p w:rsidR="00E47871" w:rsidRDefault="00E47871" w:rsidP="00E47871">
      <w:pPr>
        <w:pStyle w:val="ad"/>
        <w:spacing w:line="360" w:lineRule="auto"/>
        <w:jc w:val="both"/>
        <w:rPr>
          <w:rFonts w:ascii="Arial" w:hAnsi="Arial"/>
          <w:noProof w:val="0"/>
          <w:rtl/>
        </w:rPr>
      </w:pPr>
    </w:p>
    <w:p w:rsidR="00E47871" w:rsidRDefault="00E47871" w:rsidP="00E47871">
      <w:pPr>
        <w:pStyle w:val="ad"/>
        <w:tabs>
          <w:tab w:val="left" w:pos="720"/>
          <w:tab w:val="left" w:pos="1440"/>
          <w:tab w:val="left" w:pos="2160"/>
          <w:tab w:val="left" w:pos="2880"/>
          <w:tab w:val="left" w:pos="3600"/>
        </w:tabs>
        <w:spacing w:before="45" w:after="50" w:line="360" w:lineRule="auto"/>
        <w:jc w:val="both"/>
        <w:rPr>
          <w:rFonts w:ascii="Arial" w:hAnsi="Arial"/>
          <w:b/>
          <w:bCs/>
          <w:noProof w:val="0"/>
        </w:rPr>
      </w:pPr>
      <w:r>
        <w:rPr>
          <w:rFonts w:ascii="Arial" w:hAnsi="Arial"/>
          <w:b/>
          <w:bCs/>
          <w:noProof w:val="0"/>
          <w:rtl/>
        </w:rPr>
        <w:t>"הודה הנתבע, בכתב או בפני בית משפט, בין בתוך תקופת ההתיישנות ובין לאחריה, בקיום זכות התובע, תתחיל תקופת ההתיישנות מיום ההודאה; ומעשה שיש בו משום ביצוע מקצת הזכות, דינו כהודאה לענין סעיף זה.</w:t>
      </w:r>
    </w:p>
    <w:p w:rsidR="00E47871" w:rsidRDefault="00E47871" w:rsidP="00E47871">
      <w:pPr>
        <w:pStyle w:val="ad"/>
        <w:tabs>
          <w:tab w:val="left" w:pos="720"/>
          <w:tab w:val="left" w:pos="1440"/>
          <w:tab w:val="left" w:pos="2160"/>
          <w:tab w:val="left" w:pos="2880"/>
          <w:tab w:val="left" w:pos="3600"/>
        </w:tabs>
        <w:spacing w:before="45" w:after="50" w:line="360" w:lineRule="auto"/>
        <w:jc w:val="both"/>
        <w:rPr>
          <w:rFonts w:ascii="Arial" w:hAnsi="Arial"/>
          <w:b/>
          <w:bCs/>
          <w:noProof w:val="0"/>
        </w:rPr>
      </w:pPr>
      <w:r>
        <w:rPr>
          <w:rFonts w:ascii="Arial" w:hAnsi="Arial"/>
          <w:b/>
          <w:bCs/>
          <w:noProof w:val="0"/>
          <w:rtl/>
        </w:rPr>
        <w:t>בסעיף זה, "הודאה" – למעט הודאה שהיה עמה טיעון התיישנות".</w:t>
      </w:r>
    </w:p>
    <w:p w:rsidR="00E47871" w:rsidRDefault="00E47871" w:rsidP="00E47871">
      <w:pPr>
        <w:pStyle w:val="ad"/>
        <w:spacing w:line="360" w:lineRule="auto"/>
        <w:jc w:val="both"/>
        <w:rPr>
          <w:rFonts w:ascii="Arial" w:hAnsi="Arial"/>
          <w:noProof w:val="0"/>
        </w:rPr>
      </w:pPr>
    </w:p>
    <w:p w:rsidR="00E47871" w:rsidRDefault="00E47871" w:rsidP="00E47871">
      <w:pPr>
        <w:pStyle w:val="ad"/>
        <w:spacing w:line="360" w:lineRule="auto"/>
        <w:jc w:val="both"/>
        <w:rPr>
          <w:rFonts w:ascii="Arial" w:hAnsi="Arial"/>
          <w:noProof w:val="0"/>
        </w:rPr>
      </w:pPr>
      <w:r>
        <w:rPr>
          <w:rFonts w:ascii="Arial" w:hAnsi="Arial"/>
          <w:noProof w:val="0"/>
          <w:rtl/>
        </w:rPr>
        <w:t>לטענת התובע, הודאות הנתבעת 1 עוצרות את מניין ההתיישנות ומתחילות אותה מחדש ממועד ההודאה הראשונה, קרי: בחודש אפריל 2017.</w:t>
      </w:r>
    </w:p>
    <w:p w:rsidR="00E47871" w:rsidRDefault="00E47871" w:rsidP="00E47871">
      <w:pPr>
        <w:pStyle w:val="ad"/>
        <w:spacing w:line="360" w:lineRule="auto"/>
        <w:jc w:val="both"/>
        <w:rPr>
          <w:rFonts w:ascii="Arial" w:hAnsi="Arial"/>
          <w:noProof w:val="0"/>
          <w:rtl/>
        </w:rPr>
      </w:pPr>
    </w:p>
    <w:p w:rsidR="00E47871" w:rsidRDefault="00E47871" w:rsidP="00E47871">
      <w:pPr>
        <w:pStyle w:val="ad"/>
        <w:spacing w:line="360" w:lineRule="auto"/>
        <w:jc w:val="both"/>
        <w:rPr>
          <w:rFonts w:ascii="Arial" w:hAnsi="Arial"/>
          <w:noProof w:val="0"/>
          <w:rtl/>
        </w:rPr>
      </w:pPr>
      <w:r>
        <w:rPr>
          <w:rFonts w:ascii="Arial" w:hAnsi="Arial" w:hint="cs"/>
          <w:noProof w:val="0"/>
          <w:rtl/>
        </w:rPr>
        <w:t>אלא ש</w:t>
      </w:r>
      <w:r>
        <w:rPr>
          <w:rFonts w:ascii="Arial" w:hAnsi="Arial"/>
          <w:noProof w:val="0"/>
          <w:rtl/>
        </w:rPr>
        <w:t xml:space="preserve">ככלל, תקופת ההתיישנות מתחילה ביום שבו נולדה עילת התובענה, כאמור בסעיף 6 לחוק ההתיישנות, כאשר אחד החריגים לכלל זה קבוע בסעיף 9 לחוק ההתיישנות. </w:t>
      </w:r>
    </w:p>
    <w:p w:rsidR="00E47871" w:rsidRDefault="00E47871" w:rsidP="00E47871">
      <w:pPr>
        <w:pStyle w:val="ad"/>
        <w:spacing w:line="360" w:lineRule="auto"/>
        <w:jc w:val="both"/>
        <w:rPr>
          <w:rFonts w:ascii="Arial" w:hAnsi="Arial"/>
          <w:noProof w:val="0"/>
          <w:rtl/>
        </w:rPr>
      </w:pPr>
    </w:p>
    <w:p w:rsidR="00E47871" w:rsidRDefault="00E47871" w:rsidP="00E47871">
      <w:pPr>
        <w:pStyle w:val="ad"/>
        <w:spacing w:line="360" w:lineRule="auto"/>
        <w:jc w:val="both"/>
        <w:rPr>
          <w:rFonts w:ascii="Arial" w:hAnsi="Arial"/>
          <w:noProof w:val="0"/>
          <w:rtl/>
        </w:rPr>
      </w:pPr>
      <w:r>
        <w:rPr>
          <w:rFonts w:ascii="Arial" w:hAnsi="Arial"/>
          <w:noProof w:val="0"/>
          <w:rtl/>
        </w:rPr>
        <w:t xml:space="preserve">הדרישה העיקרית שמציב סעיף 9 לחוק ההתיישנות לשם חידוש מירוץ ההתיישנות היא כי הודאת הנתבע תכיר "בקיום זכות התובע". דרישה זו נדונה בפרשת משה בע"א 1017/91 </w:t>
      </w:r>
      <w:r>
        <w:rPr>
          <w:rFonts w:ascii="Arial" w:hAnsi="Arial"/>
          <w:b/>
          <w:bCs/>
          <w:noProof w:val="0"/>
          <w:rtl/>
        </w:rPr>
        <w:t xml:space="preserve">משה נ' הכפר הירוק ע"ש לוי אשכול בע"מ </w:t>
      </w:r>
      <w:r>
        <w:rPr>
          <w:rFonts w:ascii="Arial" w:hAnsi="Arial"/>
          <w:noProof w:val="0"/>
          <w:rtl/>
        </w:rPr>
        <w:t xml:space="preserve">(לא פורסם). </w:t>
      </w:r>
    </w:p>
    <w:p w:rsidR="00E47871" w:rsidRDefault="00E47871" w:rsidP="00E47871">
      <w:pPr>
        <w:pStyle w:val="ad"/>
        <w:spacing w:line="360" w:lineRule="auto"/>
        <w:jc w:val="both"/>
        <w:rPr>
          <w:rFonts w:ascii="Arial" w:hAnsi="Arial"/>
          <w:noProof w:val="0"/>
        </w:rPr>
      </w:pPr>
    </w:p>
    <w:p w:rsidR="00E47871" w:rsidRDefault="00E47871" w:rsidP="00E47871">
      <w:pPr>
        <w:overflowPunct w:val="0"/>
        <w:autoSpaceDE w:val="0"/>
        <w:autoSpaceDN w:val="0"/>
        <w:adjustRightInd w:val="0"/>
        <w:spacing w:line="360" w:lineRule="auto"/>
        <w:ind w:left="720"/>
        <w:jc w:val="both"/>
        <w:rPr>
          <w:rFonts w:ascii="Arial" w:hAnsi="Arial"/>
          <w:noProof w:val="0"/>
          <w:rtl/>
        </w:rPr>
      </w:pPr>
      <w:r>
        <w:rPr>
          <w:rFonts w:ascii="Arial" w:hAnsi="Arial"/>
          <w:noProof w:val="0"/>
          <w:rtl/>
        </w:rPr>
        <w:t xml:space="preserve">בין היתר, נקבע באותה פרשה כי ההודאה חייבת לבוא מצד הנתבע וכי צורת המסמך המכיל לכאורה את ההודאה צריכה להעיד על היותו של המסמך "הודאה". כמו כן, נקבע כי תוכן המסמך צריך ללמד במפורש על הודאה בקיום הזכות הנתבעת בבית המשפט. לכל הפחות, כך נקבע, על המסמך להעיד על כך שהנתבע הודה בכל העובדות הנדרשות כדי לבסס באופן ברור זכות זאת, כך שניתן וצריך יהיה להסיק כי הנתבע מודה, לא רק בעובדות, אלא גם בקיום הזכות. </w:t>
      </w:r>
      <w:r>
        <w:rPr>
          <w:rFonts w:ascii="Arial" w:hAnsi="Arial" w:hint="cs"/>
          <w:noProof w:val="0"/>
          <w:rtl/>
        </w:rPr>
        <w:t>לא מצאתי</w:t>
      </w:r>
      <w:r>
        <w:rPr>
          <w:rFonts w:ascii="Arial" w:hAnsi="Arial"/>
          <w:noProof w:val="0"/>
          <w:rtl/>
        </w:rPr>
        <w:t xml:space="preserve"> </w:t>
      </w:r>
      <w:r>
        <w:rPr>
          <w:rFonts w:ascii="Arial" w:hAnsi="Arial" w:hint="cs"/>
          <w:noProof w:val="0"/>
          <w:rtl/>
        </w:rPr>
        <w:t>כי "ה</w:t>
      </w:r>
      <w:r>
        <w:rPr>
          <w:rFonts w:ascii="Arial" w:hAnsi="Arial"/>
          <w:noProof w:val="0"/>
          <w:rtl/>
        </w:rPr>
        <w:t>הודאות</w:t>
      </w:r>
      <w:r>
        <w:rPr>
          <w:rFonts w:ascii="Arial" w:hAnsi="Arial" w:hint="cs"/>
          <w:noProof w:val="0"/>
          <w:rtl/>
        </w:rPr>
        <w:t>"</w:t>
      </w:r>
      <w:r>
        <w:rPr>
          <w:rFonts w:ascii="Arial" w:hAnsi="Arial"/>
          <w:noProof w:val="0"/>
          <w:rtl/>
        </w:rPr>
        <w:t xml:space="preserve"> שניתנו לכאורה ע"י הנתבעת 1 </w:t>
      </w:r>
      <w:r>
        <w:rPr>
          <w:rFonts w:ascii="Arial" w:hAnsi="Arial" w:hint="cs"/>
          <w:noProof w:val="0"/>
          <w:rtl/>
        </w:rPr>
        <w:t>עומדות ב</w:t>
      </w:r>
      <w:r>
        <w:rPr>
          <w:rFonts w:ascii="Arial" w:hAnsi="Arial"/>
          <w:noProof w:val="0"/>
          <w:rtl/>
        </w:rPr>
        <w:t>דרישות ו</w:t>
      </w:r>
      <w:r>
        <w:rPr>
          <w:rFonts w:ascii="Arial" w:hAnsi="Arial" w:hint="cs"/>
          <w:noProof w:val="0"/>
          <w:rtl/>
        </w:rPr>
        <w:t>ב</w:t>
      </w:r>
      <w:r>
        <w:rPr>
          <w:rFonts w:ascii="Arial" w:hAnsi="Arial"/>
          <w:noProof w:val="0"/>
          <w:rtl/>
        </w:rPr>
        <w:t xml:space="preserve">תנאים המפורטים לעיל, </w:t>
      </w:r>
      <w:r>
        <w:rPr>
          <w:rFonts w:ascii="Arial" w:hAnsi="Arial" w:hint="cs"/>
          <w:noProof w:val="0"/>
          <w:rtl/>
        </w:rPr>
        <w:t>באופן ש</w:t>
      </w:r>
      <w:r>
        <w:rPr>
          <w:rFonts w:ascii="Arial" w:hAnsi="Arial"/>
          <w:noProof w:val="0"/>
          <w:rtl/>
        </w:rPr>
        <w:t>ניתן להסיק מהם כי הנתבעת 1 מודה בקיום זכותו של התובע.</w:t>
      </w:r>
    </w:p>
    <w:p w:rsidR="00E47871" w:rsidRPr="00E47871" w:rsidRDefault="00E47871" w:rsidP="00E47871">
      <w:pPr>
        <w:pStyle w:val="ad"/>
        <w:spacing w:line="360" w:lineRule="auto"/>
        <w:jc w:val="both"/>
        <w:rPr>
          <w:rFonts w:ascii="Arial" w:hAnsi="Arial"/>
          <w:b/>
          <w:bCs/>
          <w:noProof w:val="0"/>
        </w:rPr>
      </w:pPr>
    </w:p>
    <w:p w:rsidR="00E0396B" w:rsidRPr="00E47871" w:rsidRDefault="00E0396B" w:rsidP="00E47871">
      <w:pPr>
        <w:pStyle w:val="ad"/>
        <w:numPr>
          <w:ilvl w:val="0"/>
          <w:numId w:val="3"/>
        </w:numPr>
        <w:spacing w:line="360" w:lineRule="auto"/>
        <w:jc w:val="both"/>
        <w:rPr>
          <w:rFonts w:ascii="Arial" w:hAnsi="Arial"/>
          <w:b/>
          <w:bCs/>
          <w:noProof w:val="0"/>
          <w:rtl/>
        </w:rPr>
      </w:pPr>
      <w:r w:rsidRPr="00E47871">
        <w:rPr>
          <w:rFonts w:ascii="Arial" w:hAnsi="Arial"/>
          <w:noProof w:val="0"/>
          <w:rtl/>
        </w:rPr>
        <w:t xml:space="preserve"> אמם של הצדדים נפטרה ביום 14.1.2020 ואין מחלוקת גם כי היורש היחיד עפ"י צוואתה של האם המנוחה מיום 22.8.2016 הוא התובע בלבד (ראו צו קיום צוואה שהוגש בנספח א' לכתב התביעה). </w:t>
      </w:r>
    </w:p>
    <w:p w:rsidR="00E0396B" w:rsidRDefault="00E0396B" w:rsidP="00E0396B">
      <w:pPr>
        <w:pStyle w:val="ad"/>
        <w:spacing w:line="360" w:lineRule="auto"/>
        <w:jc w:val="both"/>
        <w:rPr>
          <w:rFonts w:ascii="Arial" w:hAnsi="Arial"/>
          <w:noProof w:val="0"/>
          <w:rtl/>
        </w:rPr>
      </w:pPr>
    </w:p>
    <w:p w:rsidR="00E0396B" w:rsidRDefault="00E0396B" w:rsidP="00E0396B">
      <w:pPr>
        <w:spacing w:line="360" w:lineRule="auto"/>
        <w:ind w:left="720" w:hanging="720"/>
        <w:jc w:val="both"/>
        <w:rPr>
          <w:rFonts w:ascii="Arial" w:hAnsi="Arial"/>
          <w:noProof w:val="0"/>
          <w:rtl/>
        </w:rPr>
      </w:pPr>
      <w:r>
        <w:rPr>
          <w:rFonts w:ascii="Arial" w:hAnsi="Arial"/>
          <w:noProof w:val="0"/>
          <w:rtl/>
        </w:rPr>
        <w:tab/>
        <w:t xml:space="preserve">יש לזכור גם כי התביעה הוגשה לאחר למעלה משלוש שנים תמימות אף ממועד פטירת האם המנוחה, שכאמור לעיל, הלכה לבית עולמה ביום 14.1.2020. בהתאם לסעיף 18 לחוק </w:t>
      </w:r>
      <w:r>
        <w:rPr>
          <w:rFonts w:ascii="Arial" w:hAnsi="Arial"/>
          <w:noProof w:val="0"/>
          <w:rtl/>
        </w:rPr>
        <w:lastRenderedPageBreak/>
        <w:t>ההתיישנות, "</w:t>
      </w:r>
      <w:r>
        <w:rPr>
          <w:rFonts w:ascii="Arial" w:hAnsi="Arial"/>
          <w:b/>
          <w:bCs/>
          <w:noProof w:val="0"/>
          <w:rtl/>
        </w:rPr>
        <w:t>לענין חישוב תקופת ההתיישנות אין נפקא מינה אם הזכות נתבעת על-ידי הזכאי המקורי או על-ידי חליפו... ובלבד שאם נסבה הזכות בדרך ירושה, לא תסתיים תקופת ההתיישנות לפני שעברה לפחות שנה אחת מן היום שבו נסבה הזכות</w:t>
      </w:r>
      <w:r>
        <w:rPr>
          <w:rFonts w:ascii="Arial" w:hAnsi="Arial"/>
          <w:noProof w:val="0"/>
          <w:rtl/>
        </w:rPr>
        <w:t>".</w:t>
      </w:r>
    </w:p>
    <w:p w:rsidR="00E0396B" w:rsidRDefault="00E0396B" w:rsidP="00E0396B">
      <w:pPr>
        <w:spacing w:line="360" w:lineRule="auto"/>
        <w:ind w:left="720" w:hanging="720"/>
        <w:jc w:val="both"/>
        <w:rPr>
          <w:rFonts w:ascii="Arial" w:hAnsi="Arial"/>
          <w:noProof w:val="0"/>
          <w:rtl/>
        </w:rPr>
      </w:pPr>
      <w:r>
        <w:rPr>
          <w:rFonts w:ascii="Arial" w:hAnsi="Arial"/>
          <w:noProof w:val="0"/>
          <w:rtl/>
        </w:rPr>
        <w:tab/>
      </w:r>
    </w:p>
    <w:p w:rsidR="00E0396B" w:rsidRDefault="00E0396B" w:rsidP="00EC7AEA">
      <w:pPr>
        <w:spacing w:line="360" w:lineRule="auto"/>
        <w:ind w:left="720"/>
        <w:jc w:val="both"/>
        <w:rPr>
          <w:rFonts w:ascii="Arial" w:hAnsi="Arial"/>
          <w:noProof w:val="0"/>
          <w:rtl/>
        </w:rPr>
      </w:pPr>
      <w:r>
        <w:rPr>
          <w:rFonts w:ascii="Arial" w:hAnsi="Arial"/>
          <w:noProof w:val="0"/>
          <w:rtl/>
        </w:rPr>
        <w:t xml:space="preserve">מסעיף 18 עולה בבירור כי העברת הזכות מהתובע המקורי לתובע נעבר לא פוגעת במירוץ תקופת ההתיישנות, למעט לענין הארכה של תקופת ההתיישנות עד שנה מיום שבו נסבה הזכות (רע"א 2929/07 </w:t>
      </w:r>
      <w:r>
        <w:rPr>
          <w:rFonts w:ascii="Arial" w:hAnsi="Arial"/>
          <w:b/>
          <w:bCs/>
          <w:noProof w:val="0"/>
          <w:rtl/>
        </w:rPr>
        <w:t xml:space="preserve">הוועדה לאנרגיה אטומית נ' גיא-ליפל </w:t>
      </w:r>
      <w:r>
        <w:rPr>
          <w:rFonts w:ascii="Arial" w:hAnsi="Arial"/>
          <w:noProof w:val="0"/>
          <w:rtl/>
        </w:rPr>
        <w:t xml:space="preserve"> </w:t>
      </w:r>
      <w:r>
        <w:rPr>
          <w:noProof w:val="0"/>
          <w:sz w:val="22"/>
          <w:rtl/>
        </w:rPr>
        <w:t>[</w:t>
      </w:r>
      <w:r w:rsidR="00EC7AEA">
        <w:rPr>
          <w:rFonts w:hint="cs"/>
          <w:noProof w:val="0"/>
          <w:sz w:val="22"/>
          <w:rtl/>
        </w:rPr>
        <w:t>מאגרים משפטיים</w:t>
      </w:r>
      <w:r>
        <w:rPr>
          <w:noProof w:val="0"/>
          <w:sz w:val="22"/>
          <w:rtl/>
        </w:rPr>
        <w:t xml:space="preserve">] </w:t>
      </w:r>
      <w:r>
        <w:rPr>
          <w:rFonts w:ascii="Arial" w:hAnsi="Arial"/>
          <w:noProof w:val="0"/>
          <w:rtl/>
        </w:rPr>
        <w:t xml:space="preserve">(ניתן ביום 19.9.2010). זכות התביעה של האם – ככל שעמדה לה – נסבה אל התובע עם פטירת האם ומשחלפה למעלה משנה ממועד זה, הרי שהסתיימה תקופת ההתיישנות. </w:t>
      </w:r>
    </w:p>
    <w:p w:rsidR="00E0396B" w:rsidRDefault="00E0396B" w:rsidP="00E0396B">
      <w:pPr>
        <w:spacing w:line="360" w:lineRule="auto"/>
        <w:ind w:left="720" w:hanging="720"/>
        <w:jc w:val="both"/>
        <w:rPr>
          <w:rFonts w:ascii="Arial" w:hAnsi="Arial"/>
          <w:noProof w:val="0"/>
          <w:rtl/>
        </w:rPr>
      </w:pPr>
    </w:p>
    <w:p w:rsidR="00E0396B" w:rsidRDefault="00E0396B" w:rsidP="00E0396B">
      <w:pPr>
        <w:pStyle w:val="ad"/>
        <w:numPr>
          <w:ilvl w:val="0"/>
          <w:numId w:val="3"/>
        </w:numPr>
        <w:spacing w:line="360" w:lineRule="auto"/>
        <w:jc w:val="both"/>
        <w:rPr>
          <w:rFonts w:ascii="Arial" w:hAnsi="Arial"/>
          <w:noProof w:val="0"/>
          <w:rtl/>
        </w:rPr>
      </w:pPr>
      <w:r>
        <w:rPr>
          <w:rFonts w:ascii="Arial" w:hAnsi="Arial"/>
          <w:noProof w:val="0"/>
          <w:rtl/>
        </w:rPr>
        <w:t xml:space="preserve">התובע מבקש לדחות את טענת ההתיישנות על יסוד הטענה כי בנסיבות המקרה מתקיים החריג הקבוע בסעיף 8 לחוק ההתיישנות, העוצר את מירוץ ההתיישנות. </w:t>
      </w:r>
    </w:p>
    <w:p w:rsidR="00E0396B" w:rsidRDefault="00E0396B" w:rsidP="00E0396B">
      <w:pPr>
        <w:spacing w:line="360" w:lineRule="auto"/>
        <w:ind w:left="720" w:hanging="720"/>
        <w:jc w:val="both"/>
        <w:rPr>
          <w:rFonts w:ascii="Arial" w:hAnsi="Arial"/>
          <w:noProof w:val="0"/>
          <w:rtl/>
        </w:rPr>
      </w:pPr>
    </w:p>
    <w:p w:rsidR="00E0396B" w:rsidRDefault="00E0396B" w:rsidP="00E0396B">
      <w:pPr>
        <w:spacing w:line="360" w:lineRule="auto"/>
        <w:ind w:left="720" w:hanging="720"/>
        <w:jc w:val="both"/>
        <w:rPr>
          <w:rFonts w:ascii="Arial" w:hAnsi="Arial"/>
          <w:noProof w:val="0"/>
          <w:rtl/>
        </w:rPr>
      </w:pPr>
      <w:r>
        <w:rPr>
          <w:rFonts w:ascii="Arial" w:hAnsi="Arial"/>
          <w:noProof w:val="0"/>
          <w:rtl/>
        </w:rPr>
        <w:tab/>
        <w:t xml:space="preserve">על פי התובע, הוא לא ידע על כך שהוריו חסכו עבורו 400,000 ₪ ונודע לו על כך לראשונה רק באמצעות התסקיר שנערך בעניינם של הצדדים באפריל 2017. </w:t>
      </w:r>
    </w:p>
    <w:p w:rsidR="00E0396B" w:rsidRDefault="00E0396B" w:rsidP="00E0396B">
      <w:pPr>
        <w:spacing w:line="360" w:lineRule="auto"/>
        <w:ind w:left="720" w:hanging="720"/>
        <w:jc w:val="both"/>
        <w:rPr>
          <w:rFonts w:ascii="Arial" w:hAnsi="Arial"/>
          <w:noProof w:val="0"/>
          <w:rtl/>
        </w:rPr>
      </w:pPr>
    </w:p>
    <w:p w:rsidR="00E0396B" w:rsidRDefault="00E0396B" w:rsidP="00E0396B">
      <w:pPr>
        <w:pStyle w:val="ad"/>
        <w:numPr>
          <w:ilvl w:val="0"/>
          <w:numId w:val="3"/>
        </w:numPr>
        <w:spacing w:line="360" w:lineRule="auto"/>
        <w:jc w:val="both"/>
        <w:rPr>
          <w:rFonts w:ascii="Arial" w:hAnsi="Arial"/>
          <w:noProof w:val="0"/>
          <w:rtl/>
        </w:rPr>
      </w:pPr>
      <w:r>
        <w:rPr>
          <w:rFonts w:ascii="Arial" w:hAnsi="Arial"/>
          <w:noProof w:val="0"/>
          <w:rtl/>
        </w:rPr>
        <w:t xml:space="preserve">אין בידי לקבל טענות אלה. סעיף 8 לחוק ההתיישנות מורה כדלהלן: </w:t>
      </w:r>
    </w:p>
    <w:p w:rsidR="00E0396B" w:rsidRDefault="00E0396B" w:rsidP="00E0396B">
      <w:pPr>
        <w:spacing w:line="360" w:lineRule="auto"/>
        <w:ind w:left="1842" w:right="851"/>
        <w:jc w:val="both"/>
        <w:rPr>
          <w:rFonts w:ascii="Arial" w:hAnsi="Arial"/>
          <w:b/>
          <w:bCs/>
          <w:noProof w:val="0"/>
          <w:rtl/>
        </w:rPr>
      </w:pPr>
    </w:p>
    <w:p w:rsidR="00E0396B" w:rsidRDefault="00E0396B" w:rsidP="00726146">
      <w:pPr>
        <w:spacing w:line="360" w:lineRule="auto"/>
        <w:ind w:left="720" w:right="851"/>
        <w:jc w:val="both"/>
        <w:rPr>
          <w:rFonts w:ascii="Arial" w:hAnsi="Arial"/>
          <w:noProof w:val="0"/>
          <w:rtl/>
        </w:rPr>
      </w:pPr>
      <w:r>
        <w:rPr>
          <w:rFonts w:ascii="Arial" w:hAnsi="Arial"/>
          <w:b/>
          <w:bCs/>
          <w:noProof w:val="0"/>
          <w:rtl/>
        </w:rPr>
        <w:t>"נעלמו מן התובע העובדות המהוות את עילת התובענה, מסיבות שלא תלויות בו</w:t>
      </w:r>
      <w:r w:rsidR="00726146">
        <w:rPr>
          <w:rFonts w:ascii="Arial" w:hAnsi="Arial" w:hint="cs"/>
          <w:b/>
          <w:bCs/>
          <w:noProof w:val="0"/>
          <w:rtl/>
        </w:rPr>
        <w:t xml:space="preserve"> </w:t>
      </w:r>
      <w:r>
        <w:rPr>
          <w:rFonts w:ascii="Arial" w:hAnsi="Arial"/>
          <w:b/>
          <w:bCs/>
          <w:noProof w:val="0"/>
          <w:rtl/>
        </w:rPr>
        <w:t>ושאף בזהירות סבירה לא יכול היה למנוע אותן, תתחיל ההתיישנות ביום שבו נודעו לתובע עובדות אלו".</w:t>
      </w:r>
    </w:p>
    <w:p w:rsidR="00E0396B" w:rsidRDefault="00E0396B" w:rsidP="00E0396B">
      <w:pPr>
        <w:spacing w:line="360" w:lineRule="auto"/>
        <w:ind w:left="720" w:hanging="720"/>
        <w:jc w:val="both"/>
        <w:rPr>
          <w:rFonts w:ascii="Arial" w:hAnsi="Arial"/>
          <w:noProof w:val="0"/>
          <w:rtl/>
        </w:rPr>
      </w:pPr>
    </w:p>
    <w:p w:rsidR="00E0396B" w:rsidRDefault="00E0396B" w:rsidP="00E0396B">
      <w:pPr>
        <w:spacing w:line="360" w:lineRule="auto"/>
        <w:ind w:left="720"/>
        <w:jc w:val="both"/>
        <w:rPr>
          <w:rFonts w:ascii="Arial" w:hAnsi="Arial"/>
          <w:noProof w:val="0"/>
          <w:rtl/>
        </w:rPr>
      </w:pPr>
      <w:r>
        <w:rPr>
          <w:rFonts w:ascii="Arial" w:hAnsi="Arial"/>
          <w:noProof w:val="0"/>
          <w:rtl/>
        </w:rPr>
        <w:t xml:space="preserve">כלומר, סעיף 8 לחוק ההתיישנות קובע את כלל הגילוי המאוחר: כאשר נעלמו מעיני התובע עובדות מהותיות המהוות את עילת התביעה, מסיבות שלא היו תלויות בו ושאף בזהירות סבירה לא היה יכול למנוע אותן, תתחיל תקופת ההתיישנות עם גילוי העובדות. </w:t>
      </w:r>
    </w:p>
    <w:p w:rsidR="00E0396B" w:rsidRDefault="00E0396B" w:rsidP="00E0396B">
      <w:pPr>
        <w:spacing w:line="360" w:lineRule="auto"/>
        <w:ind w:left="720"/>
        <w:jc w:val="both"/>
        <w:rPr>
          <w:rFonts w:ascii="Arial" w:hAnsi="Arial"/>
          <w:noProof w:val="0"/>
          <w:rtl/>
        </w:rPr>
      </w:pPr>
    </w:p>
    <w:p w:rsidR="00E0396B" w:rsidRDefault="00E0396B" w:rsidP="00EC7AEA">
      <w:pPr>
        <w:spacing w:line="360" w:lineRule="auto"/>
        <w:ind w:left="720"/>
        <w:jc w:val="both"/>
        <w:rPr>
          <w:rFonts w:ascii="Arial" w:hAnsi="Arial"/>
          <w:noProof w:val="0"/>
          <w:rtl/>
        </w:rPr>
      </w:pPr>
      <w:r>
        <w:rPr>
          <w:rFonts w:ascii="Arial" w:hAnsi="Arial"/>
          <w:noProof w:val="0"/>
          <w:rtl/>
        </w:rPr>
        <w:t>מאחר שסעיף 8 לחוק הינו חריג לכלל ההתיישנות, נטל ההוכחה כי התקיים כלל הגילוי המאוחר רובץ על הטוען לו (</w:t>
      </w:r>
      <w:r>
        <w:rPr>
          <w:rFonts w:ascii="Arial" w:hAnsi="Arial"/>
          <w:noProof w:val="0"/>
          <w:color w:val="000000"/>
          <w:rtl/>
        </w:rPr>
        <w:t>רע"א 2929/07</w:t>
      </w:r>
      <w:r>
        <w:rPr>
          <w:rFonts w:ascii="Arial" w:hAnsi="Arial"/>
          <w:noProof w:val="0"/>
          <w:rtl/>
        </w:rPr>
        <w:t xml:space="preserve"> הנ"ל; ע"א 97/77 </w:t>
      </w:r>
      <w:r>
        <w:rPr>
          <w:rFonts w:ascii="Arial" w:hAnsi="Arial"/>
          <w:b/>
          <w:bCs/>
          <w:noProof w:val="0"/>
          <w:rtl/>
        </w:rPr>
        <w:t>זונבנד נ' קלוגמן,</w:t>
      </w:r>
      <w:r>
        <w:rPr>
          <w:rFonts w:ascii="Arial" w:hAnsi="Arial"/>
          <w:noProof w:val="0"/>
          <w:rtl/>
        </w:rPr>
        <w:t xml:space="preserve"> פ"ד לא(3) 466, 471 (1997); ע"א 1349/05 </w:t>
      </w:r>
      <w:r>
        <w:rPr>
          <w:rFonts w:ascii="Arial" w:hAnsi="Arial"/>
          <w:b/>
          <w:bCs/>
          <w:noProof w:val="0"/>
          <w:rtl/>
        </w:rPr>
        <w:t>שוב נ' בנק ירושלים</w:t>
      </w:r>
      <w:r>
        <w:rPr>
          <w:rFonts w:ascii="Arial" w:hAnsi="Arial"/>
          <w:noProof w:val="0"/>
          <w:rtl/>
        </w:rPr>
        <w:t xml:space="preserve"> </w:t>
      </w:r>
      <w:r>
        <w:rPr>
          <w:noProof w:val="0"/>
          <w:sz w:val="22"/>
          <w:rtl/>
        </w:rPr>
        <w:t>[</w:t>
      </w:r>
      <w:r w:rsidR="00EC7AEA">
        <w:rPr>
          <w:rFonts w:hint="cs"/>
          <w:noProof w:val="0"/>
          <w:sz w:val="22"/>
          <w:rtl/>
        </w:rPr>
        <w:t>מאגרים משפטיים</w:t>
      </w:r>
      <w:r>
        <w:rPr>
          <w:noProof w:val="0"/>
          <w:sz w:val="22"/>
          <w:rtl/>
        </w:rPr>
        <w:t xml:space="preserve">] </w:t>
      </w:r>
      <w:r>
        <w:rPr>
          <w:rFonts w:ascii="Arial" w:hAnsi="Arial"/>
          <w:noProof w:val="0"/>
          <w:rtl/>
        </w:rPr>
        <w:t xml:space="preserve">(ניתן ביום, 18.3.2009)). יתרה מכך, על המבקש להסתמך על כלל הגילוי המאוחר, לטעון בכתב טענותיו את העובדות המבססות את הטענה (ע"א 7261/97 </w:t>
      </w:r>
      <w:r>
        <w:rPr>
          <w:rFonts w:ascii="Arial" w:hAnsi="Arial"/>
          <w:b/>
          <w:bCs/>
          <w:noProof w:val="0"/>
          <w:rtl/>
        </w:rPr>
        <w:t>שרבני נ' חברת האחים שבירו בע"מ</w:t>
      </w:r>
      <w:r>
        <w:rPr>
          <w:rFonts w:ascii="Arial" w:hAnsi="Arial"/>
          <w:noProof w:val="0"/>
          <w:rtl/>
        </w:rPr>
        <w:t xml:space="preserve">, פ"ד נד(4) 464, 474 (2000); ע"א 2167/94 </w:t>
      </w:r>
      <w:r>
        <w:rPr>
          <w:rFonts w:ascii="Arial" w:hAnsi="Arial"/>
          <w:b/>
          <w:bCs/>
          <w:noProof w:val="0"/>
          <w:rtl/>
        </w:rPr>
        <w:t>בנק למסחר בע"מ נ' שטרן</w:t>
      </w:r>
      <w:r>
        <w:rPr>
          <w:rFonts w:ascii="Arial" w:hAnsi="Arial"/>
          <w:noProof w:val="0"/>
          <w:rtl/>
        </w:rPr>
        <w:t>, פ"ד נ(5) 216 (1997)).</w:t>
      </w:r>
    </w:p>
    <w:p w:rsidR="00E0396B" w:rsidRDefault="00E0396B" w:rsidP="00E0396B">
      <w:pPr>
        <w:spacing w:line="360" w:lineRule="auto"/>
        <w:ind w:left="720"/>
        <w:jc w:val="both"/>
        <w:rPr>
          <w:rFonts w:ascii="Arial" w:hAnsi="Arial"/>
          <w:noProof w:val="0"/>
          <w:rtl/>
        </w:rPr>
      </w:pPr>
    </w:p>
    <w:p w:rsidR="00EC7AEA" w:rsidRDefault="00EC7AEA" w:rsidP="00E47871">
      <w:pPr>
        <w:spacing w:line="360" w:lineRule="auto"/>
        <w:ind w:left="720"/>
        <w:jc w:val="both"/>
        <w:rPr>
          <w:rFonts w:ascii="Arial" w:hAnsi="Arial"/>
          <w:noProof w:val="0"/>
          <w:rtl/>
        </w:rPr>
      </w:pPr>
      <w:r>
        <w:rPr>
          <w:rFonts w:ascii="Arial" w:hAnsi="Arial" w:hint="cs"/>
          <w:noProof w:val="0"/>
          <w:rtl/>
        </w:rPr>
        <w:lastRenderedPageBreak/>
        <w:t>מלבד האמור, הרי שלנוכח הוראות סעיף 18 לחוק ההתיישנות, הרי שעילת התביעה נולדה במועד בו נודע לאם התובע על עובדות המהוות עילת תביעה, ובשעה שחשבונות אלה נסגרו, לכל המאוחר, בשנת 2014 בעת היות אם הת</w:t>
      </w:r>
      <w:r w:rsidR="000D668E">
        <w:rPr>
          <w:rFonts w:ascii="Arial" w:hAnsi="Arial" w:hint="cs"/>
          <w:noProof w:val="0"/>
          <w:rtl/>
        </w:rPr>
        <w:t>ובע בחיים, הרי שזהו המועד</w:t>
      </w:r>
      <w:r w:rsidR="00E47871">
        <w:rPr>
          <w:rFonts w:ascii="Arial" w:hAnsi="Arial" w:hint="cs"/>
          <w:noProof w:val="0"/>
          <w:rtl/>
        </w:rPr>
        <w:t xml:space="preserve"> שבו סביר כי האם ידעה על עילת התביעה הנטענת וזהו המועד המאוחר ביותר</w:t>
      </w:r>
      <w:r w:rsidR="000D668E">
        <w:rPr>
          <w:rFonts w:ascii="Arial" w:hAnsi="Arial" w:hint="cs"/>
          <w:noProof w:val="0"/>
          <w:rtl/>
        </w:rPr>
        <w:t xml:space="preserve"> בו </w:t>
      </w:r>
      <w:r w:rsidR="00E47871">
        <w:rPr>
          <w:rFonts w:ascii="Arial" w:hAnsi="Arial" w:hint="cs"/>
          <w:noProof w:val="0"/>
          <w:rtl/>
        </w:rPr>
        <w:t>יכלה להתגבש</w:t>
      </w:r>
      <w:r w:rsidR="000D668E">
        <w:rPr>
          <w:rFonts w:ascii="Arial" w:hAnsi="Arial" w:hint="cs"/>
          <w:noProof w:val="0"/>
          <w:rtl/>
        </w:rPr>
        <w:t xml:space="preserve"> עילת התביעה עבור אם המנוחה ומשכך גם עבור התובע עצמו (בסייג האמור בסע' 18 לחוק, כאמור לעיל).</w:t>
      </w:r>
    </w:p>
    <w:p w:rsidR="000D668E" w:rsidRDefault="000D668E" w:rsidP="00EC7AEA">
      <w:pPr>
        <w:spacing w:line="360" w:lineRule="auto"/>
        <w:ind w:left="720"/>
        <w:jc w:val="both"/>
        <w:rPr>
          <w:rFonts w:ascii="Arial" w:hAnsi="Arial"/>
          <w:noProof w:val="0"/>
          <w:rtl/>
        </w:rPr>
      </w:pPr>
    </w:p>
    <w:p w:rsidR="00E0396B" w:rsidRDefault="000D668E" w:rsidP="000D668E">
      <w:pPr>
        <w:spacing w:line="360" w:lineRule="auto"/>
        <w:ind w:left="720"/>
        <w:jc w:val="both"/>
        <w:rPr>
          <w:rFonts w:ascii="Arial" w:hAnsi="Arial"/>
          <w:noProof w:val="0"/>
          <w:rtl/>
        </w:rPr>
      </w:pPr>
      <w:r>
        <w:rPr>
          <w:rFonts w:ascii="Arial" w:hAnsi="Arial" w:hint="cs"/>
          <w:noProof w:val="0"/>
          <w:rtl/>
        </w:rPr>
        <w:t xml:space="preserve">אדגיש כי </w:t>
      </w:r>
      <w:r w:rsidR="00E0396B">
        <w:rPr>
          <w:rFonts w:ascii="Arial" w:hAnsi="Arial"/>
          <w:noProof w:val="0"/>
          <w:rtl/>
        </w:rPr>
        <w:t xml:space="preserve">סעיף 8 לחוק כולל את מבחן הסבירות, המבקש לבחון את ידיעתו בפועל ובכוח של התובע. על התובע להראות כי נעלמו מעיניו העובדות המהוות את עילת התובענה </w:t>
      </w:r>
      <w:r w:rsidR="00E0396B">
        <w:rPr>
          <w:rFonts w:ascii="Arial" w:hAnsi="Arial"/>
          <w:b/>
          <w:bCs/>
          <w:noProof w:val="0"/>
          <w:rtl/>
        </w:rPr>
        <w:t>"מסיבות שלא היו תלויות בו ושאף בזהירות סבירה לא יכול היה למנוע אותן"</w:t>
      </w:r>
      <w:r w:rsidR="00E0396B">
        <w:rPr>
          <w:rFonts w:ascii="Arial" w:hAnsi="Arial"/>
          <w:noProof w:val="0"/>
          <w:rtl/>
        </w:rPr>
        <w:t xml:space="preserve">. היכולת לגלות את העובדות נבחנת על פי מבחן אובייקטיבי. יפים לעניין זה דבריו של כב' השופט ס' ג'ובראן בע"א 393/08 </w:t>
      </w:r>
      <w:r w:rsidR="00E0396B">
        <w:rPr>
          <w:rFonts w:ascii="Arial" w:hAnsi="Arial"/>
          <w:b/>
          <w:bCs/>
          <w:noProof w:val="0"/>
          <w:rtl/>
        </w:rPr>
        <w:t xml:space="preserve">שגיא נ' כפר ביאליק כפר שיתופי להתיישבות חקלאית בע"מ </w:t>
      </w:r>
      <w:r w:rsidR="00E0396B">
        <w:rPr>
          <w:noProof w:val="0"/>
          <w:sz w:val="22"/>
          <w:rtl/>
        </w:rPr>
        <w:t>[</w:t>
      </w:r>
      <w:r>
        <w:rPr>
          <w:rFonts w:hint="cs"/>
          <w:noProof w:val="0"/>
          <w:sz w:val="22"/>
          <w:rtl/>
        </w:rPr>
        <w:t>מאגרים משפטיים</w:t>
      </w:r>
      <w:r w:rsidR="00E0396B">
        <w:rPr>
          <w:noProof w:val="0"/>
          <w:sz w:val="22"/>
          <w:rtl/>
        </w:rPr>
        <w:t xml:space="preserve">] </w:t>
      </w:r>
      <w:r w:rsidR="00E0396B">
        <w:rPr>
          <w:rFonts w:ascii="Arial" w:hAnsi="Arial"/>
          <w:noProof w:val="0"/>
          <w:rtl/>
        </w:rPr>
        <w:t>(ניתן ביום 23.2.2010):</w:t>
      </w:r>
    </w:p>
    <w:p w:rsidR="00E0396B" w:rsidRDefault="00E0396B" w:rsidP="00E0396B">
      <w:pPr>
        <w:spacing w:line="360" w:lineRule="auto"/>
        <w:ind w:left="720" w:hanging="720"/>
        <w:jc w:val="both"/>
        <w:rPr>
          <w:rFonts w:ascii="Arial" w:hAnsi="Arial"/>
          <w:noProof w:val="0"/>
          <w:rtl/>
        </w:rPr>
      </w:pPr>
    </w:p>
    <w:p w:rsidR="00E0396B" w:rsidRDefault="00E0396B" w:rsidP="00E0396B">
      <w:pPr>
        <w:spacing w:line="360" w:lineRule="auto"/>
        <w:ind w:left="1440" w:right="851" w:hanging="23"/>
        <w:jc w:val="both"/>
        <w:rPr>
          <w:rFonts w:ascii="Arial" w:hAnsi="Arial"/>
          <w:b/>
          <w:bCs/>
          <w:noProof w:val="0"/>
          <w:rtl/>
        </w:rPr>
      </w:pPr>
      <w:r>
        <w:rPr>
          <w:rFonts w:ascii="Arial" w:hAnsi="Arial"/>
          <w:b/>
          <w:bCs/>
          <w:noProof w:val="0"/>
          <w:rtl/>
        </w:rPr>
        <w:t>"</w:t>
      </w:r>
      <w:r w:rsidRPr="000D668E">
        <w:rPr>
          <w:rFonts w:ascii="Arial" w:hAnsi="Arial"/>
          <w:b/>
          <w:bCs/>
          <w:i/>
          <w:iCs/>
          <w:noProof w:val="0"/>
          <w:rtl/>
        </w:rPr>
        <w:t>לעניין הוראת סעיף 8 לחוק ההתיישנות, לא די בכך שהתובע לא ידע על העובדות המהוות את עילת התובענה, מסיבות שלא היו תלויות בו, אלא, עליו להוסיף ולהוכיח כי אף בזהירות סבירה לא יכול היה למנוע אותן. כלומר רק אי ידיעה אשר עומדת במבחני סבירות אובייקטיביים תפעיל את עילת ההשעיה. מדובר באמת מידה אובייקטיבית של האדם הסביר....</w:t>
      </w:r>
      <w:r>
        <w:rPr>
          <w:rFonts w:ascii="Arial" w:hAnsi="Arial"/>
          <w:b/>
          <w:bCs/>
          <w:noProof w:val="0"/>
          <w:rtl/>
        </w:rPr>
        <w:t>".</w:t>
      </w:r>
    </w:p>
    <w:p w:rsidR="00E0396B" w:rsidRDefault="00E0396B" w:rsidP="00E0396B">
      <w:pPr>
        <w:spacing w:line="360" w:lineRule="auto"/>
        <w:ind w:left="1440" w:right="851" w:hanging="23"/>
        <w:jc w:val="both"/>
        <w:rPr>
          <w:rFonts w:ascii="Arial" w:hAnsi="Arial"/>
          <w:noProof w:val="0"/>
          <w:rtl/>
        </w:rPr>
      </w:pPr>
    </w:p>
    <w:p w:rsidR="00E0396B" w:rsidRDefault="00E0396B" w:rsidP="00E0396B">
      <w:pPr>
        <w:spacing w:line="360" w:lineRule="auto"/>
        <w:ind w:left="720"/>
        <w:jc w:val="both"/>
        <w:rPr>
          <w:rFonts w:ascii="Arial" w:hAnsi="Arial"/>
          <w:noProof w:val="0"/>
          <w:rtl/>
        </w:rPr>
      </w:pPr>
      <w:r>
        <w:rPr>
          <w:rFonts w:ascii="Arial" w:hAnsi="Arial"/>
          <w:noProof w:val="0"/>
          <w:rtl/>
        </w:rPr>
        <w:t xml:space="preserve">בין הפרמטרים לבחינת סבירות הגילוי יש להתחשב במושא הגילוי; המידע שכבר הצטבר אצל התובע; וכן מידת המאמץ הכרוכה בגילוי העובדות. כל אלה משליכים על סבירות התנהגותו של התובע. </w:t>
      </w:r>
    </w:p>
    <w:p w:rsidR="00E0396B" w:rsidRDefault="00E0396B" w:rsidP="00E0396B">
      <w:pPr>
        <w:spacing w:line="360" w:lineRule="auto"/>
        <w:ind w:left="720" w:hanging="720"/>
        <w:jc w:val="both"/>
        <w:rPr>
          <w:rFonts w:ascii="Arial" w:hAnsi="Arial"/>
          <w:noProof w:val="0"/>
          <w:rtl/>
        </w:rPr>
      </w:pPr>
    </w:p>
    <w:p w:rsidR="007B7716" w:rsidRDefault="00E0396B" w:rsidP="00927F0A">
      <w:pPr>
        <w:pStyle w:val="ad"/>
        <w:numPr>
          <w:ilvl w:val="0"/>
          <w:numId w:val="3"/>
        </w:numPr>
        <w:spacing w:line="360" w:lineRule="auto"/>
        <w:jc w:val="both"/>
        <w:rPr>
          <w:rFonts w:ascii="Arial" w:hAnsi="Arial"/>
          <w:noProof w:val="0"/>
        </w:rPr>
      </w:pPr>
      <w:r>
        <w:rPr>
          <w:rFonts w:ascii="Arial" w:hAnsi="Arial"/>
          <w:noProof w:val="0"/>
          <w:rtl/>
        </w:rPr>
        <w:t>במקרה דנן, התובע טען בכתב התביעה את העובדות המבססות את טענותיו והעובדה שנעלמה, על פי הנטען, מידיעתו היא העובדה שהוריו חסכו עבורו כספים בסך 400,000 ₪ וכי נודע לו על כך רק באמצעות ההודאות לכאורה של הנתבעת 1</w:t>
      </w:r>
      <w:r w:rsidR="00B578D0">
        <w:rPr>
          <w:rFonts w:ascii="Arial" w:hAnsi="Arial" w:hint="cs"/>
          <w:noProof w:val="0"/>
          <w:rtl/>
        </w:rPr>
        <w:t>, נטענה כלאחר יד וללא ביסוס כלשהו זאת ב</w:t>
      </w:r>
      <w:r w:rsidR="009A5FDA">
        <w:rPr>
          <w:rFonts w:ascii="Arial" w:hAnsi="Arial" w:hint="cs"/>
          <w:noProof w:val="0"/>
          <w:rtl/>
        </w:rPr>
        <w:t>מיוחד ב</w:t>
      </w:r>
      <w:r w:rsidR="00B578D0">
        <w:rPr>
          <w:rFonts w:ascii="Arial" w:hAnsi="Arial" w:hint="cs"/>
          <w:noProof w:val="0"/>
          <w:rtl/>
        </w:rPr>
        <w:t>שעה ש</w:t>
      </w:r>
      <w:r>
        <w:rPr>
          <w:rFonts w:ascii="Arial" w:hAnsi="Arial"/>
          <w:noProof w:val="0"/>
          <w:rtl/>
        </w:rPr>
        <w:t>אין מחלוקת כי התובע ידע שהוא היורש היחיד של הוריו (ראו סעיף 14 לכתב התביעה) וכי הוא אמור לרשת את כל רכושם</w:t>
      </w:r>
      <w:r w:rsidR="00B578D0">
        <w:rPr>
          <w:rFonts w:ascii="Arial" w:hAnsi="Arial" w:hint="cs"/>
          <w:noProof w:val="0"/>
          <w:rtl/>
        </w:rPr>
        <w:t xml:space="preserve"> וכי היה מצוי בסכסוך ארוך שנים עם הנתבעת</w:t>
      </w:r>
      <w:r w:rsidR="009A5FDA">
        <w:rPr>
          <w:rFonts w:ascii="Arial" w:hAnsi="Arial" w:hint="cs"/>
          <w:noProof w:val="0"/>
          <w:rtl/>
        </w:rPr>
        <w:t xml:space="preserve"> ואין זה סביר כי דווקא עניין "גניבת הכספים" הנטענת לא הייתה ידועה לו ונודעה לו במקרה רק בשנת 2017</w:t>
      </w:r>
      <w:r>
        <w:rPr>
          <w:rFonts w:ascii="Arial" w:hAnsi="Arial"/>
          <w:noProof w:val="0"/>
          <w:rtl/>
        </w:rPr>
        <w:t>.</w:t>
      </w:r>
    </w:p>
    <w:p w:rsidR="00927F0A" w:rsidRDefault="00927F0A" w:rsidP="00927F0A">
      <w:pPr>
        <w:pStyle w:val="ad"/>
        <w:spacing w:line="360" w:lineRule="auto"/>
        <w:jc w:val="both"/>
        <w:rPr>
          <w:rFonts w:ascii="Arial" w:hAnsi="Arial"/>
          <w:noProof w:val="0"/>
        </w:rPr>
      </w:pPr>
    </w:p>
    <w:p w:rsidR="00927F0A" w:rsidRDefault="00927F0A" w:rsidP="00927F0A">
      <w:pPr>
        <w:pStyle w:val="ad"/>
        <w:numPr>
          <w:ilvl w:val="0"/>
          <w:numId w:val="3"/>
        </w:numPr>
        <w:spacing w:line="360" w:lineRule="auto"/>
        <w:jc w:val="both"/>
        <w:rPr>
          <w:rFonts w:ascii="Arial" w:hAnsi="Arial"/>
          <w:noProof w:val="0"/>
          <w:rtl/>
        </w:rPr>
      </w:pPr>
      <w:r w:rsidRPr="00B578D0">
        <w:rPr>
          <w:rFonts w:ascii="Arial" w:hAnsi="Arial"/>
          <w:noProof w:val="0"/>
          <w:rtl/>
        </w:rPr>
        <w:lastRenderedPageBreak/>
        <w:t xml:space="preserve">אין מחלוקת גם, כי התובע העלה טענות ביחס להתנהלותה של הנתבעת 1 בניהול כספי הוריהם וניתן לראות כי כלל טענות התובע מתייחסות באופן כללי ל"גניבות" שביצעה לכאורה הנתבעת 1, אשר אף היא תמכה טענותיה במכתב בכתב ידו מיום 16.10.2020, שצורף בנספח ט' לכתב הגנתה ובמסגרתו הוא מייחס את טענותיו </w:t>
      </w:r>
      <w:r w:rsidRPr="00B578D0">
        <w:rPr>
          <w:rFonts w:ascii="Arial" w:hAnsi="Arial"/>
          <w:b/>
          <w:bCs/>
          <w:noProof w:val="0"/>
          <w:rtl/>
        </w:rPr>
        <w:t>"לסכסוך שנמשך כבר 7 שנים",</w:t>
      </w:r>
      <w:r w:rsidRPr="00B578D0">
        <w:rPr>
          <w:rFonts w:ascii="Arial" w:hAnsi="Arial"/>
          <w:noProof w:val="0"/>
          <w:rtl/>
        </w:rPr>
        <w:t xml:space="preserve"> קרי: </w:t>
      </w:r>
      <w:r>
        <w:rPr>
          <w:rFonts w:ascii="Arial" w:hAnsi="Arial"/>
          <w:noProof w:val="0"/>
          <w:rtl/>
        </w:rPr>
        <w:t>מאז פטירת אבי הצדדים, בשנת 2013</w:t>
      </w:r>
      <w:r>
        <w:rPr>
          <w:rFonts w:ascii="Arial" w:hAnsi="Arial" w:hint="cs"/>
          <w:noProof w:val="0"/>
          <w:rtl/>
        </w:rPr>
        <w:t>, כך שלפי דבריו הוא, הסכסוך שאותו תולה התובע בלקיחת כספים על ידי הנתבעת, הינו בן 9 שנים לכל הפחות במועד הגשת התובענה.</w:t>
      </w:r>
      <w:r w:rsidRPr="00B578D0">
        <w:rPr>
          <w:rFonts w:ascii="Arial" w:hAnsi="Arial"/>
          <w:noProof w:val="0"/>
          <w:rtl/>
        </w:rPr>
        <w:t xml:space="preserve"> </w:t>
      </w:r>
      <w:r>
        <w:rPr>
          <w:rFonts w:ascii="Arial" w:hAnsi="Arial" w:hint="cs"/>
          <w:noProof w:val="0"/>
          <w:rtl/>
        </w:rPr>
        <w:t>מש</w:t>
      </w:r>
      <w:r>
        <w:rPr>
          <w:rFonts w:ascii="Arial" w:hAnsi="Arial"/>
          <w:noProof w:val="0"/>
          <w:rtl/>
        </w:rPr>
        <w:t xml:space="preserve">כך, איני מקבל </w:t>
      </w:r>
      <w:r w:rsidRPr="00B578D0">
        <w:rPr>
          <w:rFonts w:ascii="Arial" w:hAnsi="Arial"/>
          <w:noProof w:val="0"/>
          <w:rtl/>
        </w:rPr>
        <w:t xml:space="preserve">טענת התובע </w:t>
      </w:r>
      <w:r w:rsidRPr="00B578D0">
        <w:rPr>
          <w:rFonts w:ascii="Arial" w:hAnsi="Arial" w:hint="cs"/>
          <w:noProof w:val="0"/>
          <w:rtl/>
        </w:rPr>
        <w:t>כי נודע לו על עובדות המבססות את עילת התביעה רק בשנת 2017</w:t>
      </w:r>
      <w:r>
        <w:rPr>
          <w:rFonts w:ascii="Arial" w:hAnsi="Arial" w:hint="cs"/>
          <w:noProof w:val="0"/>
          <w:rtl/>
        </w:rPr>
        <w:t xml:space="preserve"> (יוער כי סכסוך זה </w:t>
      </w:r>
      <w:r w:rsidRPr="00B578D0">
        <w:rPr>
          <w:rFonts w:ascii="Arial" w:hAnsi="Arial"/>
          <w:noProof w:val="0"/>
          <w:rtl/>
        </w:rPr>
        <w:t xml:space="preserve">הגיע אף לפתחו של בית המשפט מספר פעמים, בין בתובענה שהגישה אם הצדדים כנגד בתה – הנתבעת 1 ובין </w:t>
      </w:r>
      <w:r w:rsidRPr="00B578D0">
        <w:rPr>
          <w:rFonts w:ascii="Arial" w:hAnsi="Arial" w:hint="cs"/>
          <w:noProof w:val="0"/>
          <w:rtl/>
        </w:rPr>
        <w:t>בעתירה למתן צו הגנה</w:t>
      </w:r>
      <w:r w:rsidRPr="00B578D0">
        <w:rPr>
          <w:rFonts w:ascii="Arial" w:hAnsi="Arial"/>
          <w:noProof w:val="0"/>
          <w:rtl/>
        </w:rPr>
        <w:t xml:space="preserve"> </w:t>
      </w:r>
      <w:r>
        <w:rPr>
          <w:rFonts w:ascii="Arial" w:hAnsi="Arial" w:hint="cs"/>
          <w:noProof w:val="0"/>
          <w:rtl/>
        </w:rPr>
        <w:t>ולא סביר כי התובע לא ידע</w:t>
      </w:r>
      <w:r w:rsidR="004F69FE">
        <w:rPr>
          <w:rFonts w:ascii="Arial" w:hAnsi="Arial"/>
          <w:noProof w:val="0"/>
          <w:rtl/>
        </w:rPr>
        <w:t xml:space="preserve"> על הכספים הנטענים</w:t>
      </w:r>
      <w:r>
        <w:rPr>
          <w:rFonts w:ascii="Arial" w:hAnsi="Arial" w:hint="cs"/>
          <w:noProof w:val="0"/>
          <w:rtl/>
        </w:rPr>
        <w:t xml:space="preserve"> בטרם </w:t>
      </w:r>
      <w:r w:rsidRPr="00B578D0">
        <w:rPr>
          <w:rFonts w:ascii="Arial" w:hAnsi="Arial"/>
          <w:noProof w:val="0"/>
          <w:rtl/>
        </w:rPr>
        <w:t>מועד חשיפתו לדברי הנתבעת 1 בתסקיר העו"ס.</w:t>
      </w:r>
    </w:p>
    <w:p w:rsidR="00927F0A" w:rsidRDefault="00927F0A" w:rsidP="00927F0A">
      <w:pPr>
        <w:pStyle w:val="ad"/>
        <w:spacing w:line="360" w:lineRule="auto"/>
        <w:jc w:val="both"/>
        <w:rPr>
          <w:rFonts w:ascii="Arial" w:hAnsi="Arial"/>
          <w:noProof w:val="0"/>
          <w:rtl/>
        </w:rPr>
      </w:pPr>
    </w:p>
    <w:p w:rsidR="00927F0A" w:rsidRDefault="00927F0A" w:rsidP="00927F0A">
      <w:pPr>
        <w:pStyle w:val="ad"/>
        <w:spacing w:line="360" w:lineRule="auto"/>
        <w:jc w:val="both"/>
        <w:rPr>
          <w:rFonts w:ascii="Arial" w:hAnsi="Arial"/>
          <w:noProof w:val="0"/>
          <w:rtl/>
        </w:rPr>
      </w:pPr>
      <w:r>
        <w:rPr>
          <w:rFonts w:ascii="Arial" w:hAnsi="Arial" w:hint="cs"/>
          <w:noProof w:val="0"/>
          <w:rtl/>
        </w:rPr>
        <w:t>אלא שגם אם אכן לא נודע לתובע על כך עד לשנת 2017, בשעה שאם התובע בוודאי ידעה על כך ומשכך ידיעתו או חוסר ידיעתו של התובע עצמו, אינה מעלה ואינה מורידה (כאמור לעיל), מה גם שבשעה שלעניין טענת ההתיישנות, נכנס התובע בנעליה של אמו המנוחה, וזו אינה כאן על מנת להעיד מתי נודע לה על התגבשות עילת התביעה, הרי שאין בידי התובע כל ראיה על מנת שיוכל לעבור "משוכה" גבוהה זו.</w:t>
      </w:r>
    </w:p>
    <w:p w:rsidR="00927F0A" w:rsidRDefault="00927F0A" w:rsidP="00927F0A">
      <w:pPr>
        <w:pStyle w:val="ad"/>
        <w:spacing w:line="360" w:lineRule="auto"/>
        <w:jc w:val="both"/>
        <w:rPr>
          <w:rFonts w:ascii="Arial" w:hAnsi="Arial"/>
          <w:noProof w:val="0"/>
        </w:rPr>
      </w:pPr>
    </w:p>
    <w:p w:rsidR="00927F0A" w:rsidRDefault="00165922" w:rsidP="00927F0A">
      <w:pPr>
        <w:pStyle w:val="ad"/>
        <w:numPr>
          <w:ilvl w:val="0"/>
          <w:numId w:val="3"/>
        </w:numPr>
        <w:spacing w:line="360" w:lineRule="auto"/>
        <w:jc w:val="both"/>
        <w:rPr>
          <w:rFonts w:ascii="Arial" w:hAnsi="Arial"/>
          <w:noProof w:val="0"/>
        </w:rPr>
      </w:pPr>
      <w:r w:rsidRPr="00927F0A">
        <w:rPr>
          <w:rFonts w:ascii="Arial" w:hAnsi="Arial" w:hint="cs"/>
          <w:noProof w:val="0"/>
          <w:rtl/>
        </w:rPr>
        <w:t>אוסיף ואומר</w:t>
      </w:r>
      <w:r w:rsidR="007B7716" w:rsidRPr="00927F0A">
        <w:rPr>
          <w:rFonts w:ascii="Arial" w:hAnsi="Arial" w:hint="cs"/>
          <w:noProof w:val="0"/>
          <w:rtl/>
        </w:rPr>
        <w:t xml:space="preserve"> כי גם אמו המנוחה של התובע</w:t>
      </w:r>
      <w:r w:rsidR="009B0438" w:rsidRPr="00927F0A">
        <w:rPr>
          <w:rFonts w:ascii="Arial" w:hAnsi="Arial" w:hint="cs"/>
          <w:noProof w:val="0"/>
          <w:rtl/>
        </w:rPr>
        <w:t>,</w:t>
      </w:r>
      <w:r w:rsidR="007B7716" w:rsidRPr="00927F0A">
        <w:rPr>
          <w:rFonts w:ascii="Arial" w:hAnsi="Arial" w:hint="cs"/>
          <w:noProof w:val="0"/>
          <w:rtl/>
        </w:rPr>
        <w:t xml:space="preserve"> לכשטענה טענותיה בעניין התנהלות הנתבעת לכאורה, דרשה במכתב שכתבה בכתב ידה "פיצויים" אך לא טענה שגנבה ממנה כספים </w:t>
      </w:r>
      <w:r w:rsidRPr="00927F0A">
        <w:rPr>
          <w:rFonts w:ascii="Arial" w:hAnsi="Arial" w:hint="cs"/>
          <w:noProof w:val="0"/>
          <w:rtl/>
        </w:rPr>
        <w:t xml:space="preserve">בסכומים הנטענים על ידי התובע </w:t>
      </w:r>
      <w:r w:rsidR="007B7716" w:rsidRPr="00927F0A">
        <w:rPr>
          <w:rFonts w:ascii="Arial" w:hAnsi="Arial" w:hint="cs"/>
          <w:noProof w:val="0"/>
          <w:rtl/>
        </w:rPr>
        <w:t xml:space="preserve">ותביעתה הוגשה על סך של 104,000 ₪ </w:t>
      </w:r>
      <w:r w:rsidRPr="00927F0A">
        <w:rPr>
          <w:rFonts w:ascii="Arial" w:hAnsi="Arial" w:hint="cs"/>
          <w:noProof w:val="0"/>
          <w:rtl/>
        </w:rPr>
        <w:t xml:space="preserve">בלבד </w:t>
      </w:r>
      <w:r w:rsidR="007B7716" w:rsidRPr="00927F0A">
        <w:rPr>
          <w:rFonts w:ascii="Arial" w:hAnsi="Arial" w:hint="cs"/>
          <w:noProof w:val="0"/>
          <w:rtl/>
        </w:rPr>
        <w:t>(ראו נספח ה' לכתב התביעה). תביעה זו הוגשה על ידי אם התובע המנוחה בשנת 2016 ביחס למועדים לא מבוררים, ולא מן הנמנע כי הללו חופפים למועד בו נסגרו החשבונות וב</w:t>
      </w:r>
      <w:r w:rsidR="009B0438" w:rsidRPr="00927F0A">
        <w:rPr>
          <w:rFonts w:ascii="Arial" w:hAnsi="Arial" w:hint="cs"/>
          <w:noProof w:val="0"/>
          <w:rtl/>
        </w:rPr>
        <w:t>הם נודע לאם התובע, כי נלקחו</w:t>
      </w:r>
      <w:r w:rsidR="007B7716" w:rsidRPr="00927F0A">
        <w:rPr>
          <w:rFonts w:ascii="Arial" w:hAnsi="Arial" w:hint="cs"/>
          <w:noProof w:val="0"/>
          <w:rtl/>
        </w:rPr>
        <w:t xml:space="preserve"> כספים שלא כדין.</w:t>
      </w:r>
      <w:r w:rsidRPr="00927F0A">
        <w:rPr>
          <w:rFonts w:ascii="Arial" w:hAnsi="Arial" w:hint="cs"/>
          <w:noProof w:val="0"/>
          <w:rtl/>
        </w:rPr>
        <w:t xml:space="preserve"> </w:t>
      </w:r>
    </w:p>
    <w:p w:rsidR="00927F0A" w:rsidRDefault="00927F0A" w:rsidP="00927F0A">
      <w:pPr>
        <w:pStyle w:val="ad"/>
        <w:spacing w:line="360" w:lineRule="auto"/>
        <w:jc w:val="both"/>
        <w:rPr>
          <w:rFonts w:ascii="Arial" w:hAnsi="Arial"/>
          <w:noProof w:val="0"/>
          <w:rtl/>
        </w:rPr>
      </w:pPr>
    </w:p>
    <w:p w:rsidR="00927F0A" w:rsidRPr="009B0438" w:rsidRDefault="00927F0A" w:rsidP="00927F0A">
      <w:pPr>
        <w:pStyle w:val="ad"/>
        <w:spacing w:line="360" w:lineRule="auto"/>
        <w:jc w:val="both"/>
        <w:rPr>
          <w:rFonts w:ascii="Arial" w:hAnsi="Arial"/>
          <w:noProof w:val="0"/>
        </w:rPr>
      </w:pPr>
      <w:r>
        <w:rPr>
          <w:rFonts w:ascii="Arial" w:hAnsi="Arial" w:hint="cs"/>
          <w:noProof w:val="0"/>
          <w:rtl/>
        </w:rPr>
        <w:t>אלא ש</w:t>
      </w:r>
      <w:r w:rsidRPr="009B0438">
        <w:rPr>
          <w:rFonts w:ascii="Arial" w:hAnsi="Arial" w:hint="cs"/>
          <w:noProof w:val="0"/>
          <w:rtl/>
        </w:rPr>
        <w:t xml:space="preserve">ביום 11.11.2016 ניתן פסק דין בהיעדר הגנה ביחס לתובענה זו (ראו נספח ז' לכתב התביעה) ומשכך קיים אף מעשה בית דין </w:t>
      </w:r>
      <w:r>
        <w:rPr>
          <w:rFonts w:ascii="Arial" w:hAnsi="Arial" w:hint="cs"/>
          <w:noProof w:val="0"/>
          <w:rtl/>
        </w:rPr>
        <w:t xml:space="preserve">בו נקבע כי </w:t>
      </w:r>
      <w:r w:rsidRPr="009B0438">
        <w:rPr>
          <w:rFonts w:ascii="Arial" w:hAnsi="Arial" w:hint="cs"/>
          <w:noProof w:val="0"/>
          <w:rtl/>
        </w:rPr>
        <w:t xml:space="preserve">הסכומים שנלקחו על ידי הנתבעת עמדו לכל היותר על סכום זה. בנסיבות אלה עתירת התובע בעת הזאת מנוגדת אף לפסק דין חלוט (במסגרתו התקבלו כל טענות האם המנוחה) ומשכך מנוע התובע לטעון (בשם אמו המנוחה) טענות ביחס לכספים נוספים שנלקחו לכאורה על ידי הנתבעת, בעת שאמו המנוחה צמצמה את עילת תביעתה לסך </w:t>
      </w:r>
      <w:r>
        <w:rPr>
          <w:rFonts w:ascii="Arial" w:hAnsi="Arial" w:hint="cs"/>
          <w:noProof w:val="0"/>
          <w:rtl/>
        </w:rPr>
        <w:t>ה</w:t>
      </w:r>
      <w:r w:rsidRPr="009B0438">
        <w:rPr>
          <w:rFonts w:ascii="Arial" w:hAnsi="Arial" w:hint="cs"/>
          <w:noProof w:val="0"/>
          <w:rtl/>
        </w:rPr>
        <w:t>נקוב וקיבלה את כל מבוקשה במסגרת פסק הדין מיום 11.11.2016.</w:t>
      </w:r>
    </w:p>
    <w:p w:rsidR="00927F0A" w:rsidRPr="00927F0A" w:rsidRDefault="00927F0A" w:rsidP="00927F0A">
      <w:pPr>
        <w:pStyle w:val="ad"/>
        <w:spacing w:line="360" w:lineRule="auto"/>
        <w:jc w:val="both"/>
        <w:rPr>
          <w:rFonts w:ascii="Arial" w:hAnsi="Arial"/>
          <w:noProof w:val="0"/>
        </w:rPr>
      </w:pPr>
    </w:p>
    <w:p w:rsidR="00E0396B" w:rsidRPr="00927F0A" w:rsidRDefault="00E0396B" w:rsidP="00927F0A">
      <w:pPr>
        <w:pStyle w:val="ad"/>
        <w:numPr>
          <w:ilvl w:val="0"/>
          <w:numId w:val="3"/>
        </w:numPr>
        <w:spacing w:line="360" w:lineRule="auto"/>
        <w:jc w:val="both"/>
        <w:rPr>
          <w:rFonts w:ascii="Arial" w:hAnsi="Arial"/>
          <w:noProof w:val="0"/>
        </w:rPr>
      </w:pPr>
      <w:r w:rsidRPr="00927F0A">
        <w:rPr>
          <w:rFonts w:ascii="Arial" w:hAnsi="Arial"/>
          <w:noProof w:val="0"/>
          <w:rtl/>
        </w:rPr>
        <w:t xml:space="preserve">כמו כן, מתוך </w:t>
      </w:r>
      <w:r w:rsidR="00165922" w:rsidRPr="00927F0A">
        <w:rPr>
          <w:rFonts w:ascii="Arial" w:hAnsi="Arial" w:hint="cs"/>
          <w:noProof w:val="0"/>
          <w:rtl/>
        </w:rPr>
        <w:t>טענות התובע</w:t>
      </w:r>
      <w:r w:rsidRPr="00927F0A">
        <w:rPr>
          <w:rFonts w:ascii="Arial" w:hAnsi="Arial"/>
          <w:noProof w:val="0"/>
          <w:rtl/>
        </w:rPr>
        <w:t xml:space="preserve"> </w:t>
      </w:r>
      <w:r w:rsidR="00165922" w:rsidRPr="00927F0A">
        <w:rPr>
          <w:rFonts w:ascii="Arial" w:hAnsi="Arial" w:hint="cs"/>
          <w:noProof w:val="0"/>
          <w:rtl/>
        </w:rPr>
        <w:t xml:space="preserve">שנשמעו בדיון </w:t>
      </w:r>
      <w:r w:rsidR="00D7582A" w:rsidRPr="00927F0A">
        <w:rPr>
          <w:rFonts w:ascii="Arial" w:hAnsi="Arial" w:hint="cs"/>
          <w:noProof w:val="0"/>
          <w:rtl/>
        </w:rPr>
        <w:t xml:space="preserve">מיום 11.9.2023 </w:t>
      </w:r>
      <w:r w:rsidRPr="00927F0A">
        <w:rPr>
          <w:rFonts w:ascii="Arial" w:hAnsi="Arial"/>
          <w:noProof w:val="0"/>
          <w:rtl/>
        </w:rPr>
        <w:t>לא שוכנעתי כי התובע לא ידע</w:t>
      </w:r>
      <w:r w:rsidR="009B0438" w:rsidRPr="00927F0A">
        <w:rPr>
          <w:rFonts w:ascii="Arial" w:hAnsi="Arial" w:hint="cs"/>
          <w:noProof w:val="0"/>
          <w:rtl/>
        </w:rPr>
        <w:t xml:space="preserve"> בעבר</w:t>
      </w:r>
      <w:r w:rsidRPr="00927F0A">
        <w:rPr>
          <w:rFonts w:ascii="Arial" w:hAnsi="Arial"/>
          <w:noProof w:val="0"/>
          <w:rtl/>
        </w:rPr>
        <w:t xml:space="preserve"> על </w:t>
      </w:r>
      <w:r w:rsidR="009B0438" w:rsidRPr="00927F0A">
        <w:rPr>
          <w:rFonts w:ascii="Arial" w:hAnsi="Arial" w:hint="cs"/>
          <w:noProof w:val="0"/>
          <w:rtl/>
        </w:rPr>
        <w:t xml:space="preserve">"גניבת" </w:t>
      </w:r>
      <w:r w:rsidRPr="00927F0A">
        <w:rPr>
          <w:rFonts w:ascii="Arial" w:hAnsi="Arial"/>
          <w:noProof w:val="0"/>
          <w:rtl/>
        </w:rPr>
        <w:t>הכספים</w:t>
      </w:r>
      <w:r w:rsidR="00D7582A" w:rsidRPr="00927F0A">
        <w:rPr>
          <w:rFonts w:ascii="Arial" w:hAnsi="Arial" w:hint="cs"/>
          <w:noProof w:val="0"/>
          <w:rtl/>
        </w:rPr>
        <w:t>, שכן</w:t>
      </w:r>
      <w:r w:rsidRPr="00927F0A">
        <w:rPr>
          <w:rFonts w:ascii="Arial" w:hAnsi="Arial"/>
          <w:noProof w:val="0"/>
          <w:rtl/>
        </w:rPr>
        <w:t xml:space="preserve"> התובע היה מעורה בענייני הוריו החל מהמועד בו נסגרו </w:t>
      </w:r>
      <w:r w:rsidRPr="00927F0A">
        <w:rPr>
          <w:rFonts w:ascii="Arial" w:hAnsi="Arial"/>
          <w:noProof w:val="0"/>
          <w:rtl/>
        </w:rPr>
        <w:lastRenderedPageBreak/>
        <w:t>חשבונות הבנק, כאשר האחרון שבהם נסגר במרץ 2014</w:t>
      </w:r>
      <w:r w:rsidR="00D7582A" w:rsidRPr="00927F0A">
        <w:rPr>
          <w:rFonts w:ascii="Arial" w:hAnsi="Arial" w:hint="cs"/>
          <w:noProof w:val="0"/>
          <w:rtl/>
        </w:rPr>
        <w:t xml:space="preserve">, שכן לכשנשאל </w:t>
      </w:r>
      <w:r>
        <w:rPr>
          <w:rtl/>
        </w:rPr>
        <w:t>התובע בעניין זה</w:t>
      </w:r>
      <w:r w:rsidR="00D7582A">
        <w:rPr>
          <w:rFonts w:hint="cs"/>
          <w:rtl/>
        </w:rPr>
        <w:t>,</w:t>
      </w:r>
      <w:r w:rsidR="00D7582A">
        <w:rPr>
          <w:rtl/>
        </w:rPr>
        <w:t xml:space="preserve"> השיב</w:t>
      </w:r>
      <w:r>
        <w:rPr>
          <w:rtl/>
        </w:rPr>
        <w:t xml:space="preserve"> </w:t>
      </w:r>
      <w:r w:rsidR="00D7582A" w:rsidRPr="00927F0A">
        <w:rPr>
          <w:rFonts w:hint="cs"/>
          <w:b/>
          <w:bCs/>
          <w:rtl/>
        </w:rPr>
        <w:t>"</w:t>
      </w:r>
      <w:r w:rsidRPr="00927F0A">
        <w:rPr>
          <w:b/>
          <w:bCs/>
          <w:rtl/>
        </w:rPr>
        <w:t xml:space="preserve">לשאלת בית המשפט </w:t>
      </w:r>
      <w:r w:rsidRPr="00927F0A">
        <w:rPr>
          <w:b/>
          <w:bCs/>
          <w:u w:val="single"/>
          <w:rtl/>
        </w:rPr>
        <w:t>ממתי אני אחראי על החשבון של אמא</w:t>
      </w:r>
      <w:r w:rsidRPr="00927F0A">
        <w:rPr>
          <w:b/>
          <w:bCs/>
          <w:rtl/>
        </w:rPr>
        <w:t>, אני משיב שיש לי חשבון לבד של הנכות שלי, היא ניהלה את החשבונות עד שאבא נפטר בשנת 2013</w:t>
      </w:r>
      <w:r w:rsidR="00D7582A" w:rsidRPr="00927F0A">
        <w:rPr>
          <w:rFonts w:hint="cs"/>
          <w:b/>
          <w:bCs/>
          <w:rtl/>
        </w:rPr>
        <w:t>"</w:t>
      </w:r>
      <w:r w:rsidRPr="00927F0A">
        <w:rPr>
          <w:b/>
          <w:bCs/>
          <w:rtl/>
        </w:rPr>
        <w:t xml:space="preserve"> </w:t>
      </w:r>
      <w:r w:rsidR="00D7582A">
        <w:rPr>
          <w:rFonts w:hint="cs"/>
          <w:rtl/>
        </w:rPr>
        <w:t xml:space="preserve">באופן שמלמד כי מאז ועד לפטירת אימו הוא התעסק בניהול חשבונות האם המנוחה </w:t>
      </w:r>
      <w:r>
        <w:rPr>
          <w:rtl/>
        </w:rPr>
        <w:t>(ראו ע</w:t>
      </w:r>
      <w:r w:rsidR="00927F0A">
        <w:rPr>
          <w:rtl/>
        </w:rPr>
        <w:t>מ' 4 לפרוטוקול הדיון, ש' 29-30)</w:t>
      </w:r>
      <w:r w:rsidR="00927F0A">
        <w:rPr>
          <w:rFonts w:hint="cs"/>
          <w:rtl/>
        </w:rPr>
        <w:t>.</w:t>
      </w:r>
    </w:p>
    <w:p w:rsidR="00927F0A" w:rsidRDefault="00927F0A" w:rsidP="00927F0A">
      <w:pPr>
        <w:pStyle w:val="ad"/>
        <w:spacing w:line="360" w:lineRule="auto"/>
        <w:jc w:val="both"/>
        <w:rPr>
          <w:rFonts w:ascii="Arial" w:hAnsi="Arial"/>
          <w:noProof w:val="0"/>
          <w:rtl/>
        </w:rPr>
      </w:pPr>
    </w:p>
    <w:p w:rsidR="00927F0A" w:rsidRDefault="00927F0A" w:rsidP="00927F0A">
      <w:pPr>
        <w:pStyle w:val="ad"/>
        <w:spacing w:line="360" w:lineRule="auto"/>
        <w:jc w:val="both"/>
        <w:rPr>
          <w:rFonts w:ascii="Arial" w:hAnsi="Arial"/>
          <w:noProof w:val="0"/>
          <w:rtl/>
        </w:rPr>
      </w:pPr>
      <w:r>
        <w:rPr>
          <w:rFonts w:hint="cs"/>
          <w:rtl/>
        </w:rPr>
        <w:t xml:space="preserve">יודגש </w:t>
      </w:r>
      <w:r>
        <w:rPr>
          <w:rtl/>
        </w:rPr>
        <w:t xml:space="preserve"> כי הנתבעת 1 </w:t>
      </w:r>
      <w:r>
        <w:rPr>
          <w:rFonts w:ascii="Arial" w:hAnsi="Arial"/>
          <w:noProof w:val="0"/>
          <w:rtl/>
        </w:rPr>
        <w:t>המציאה אסמכתאות ביחס לסגירת כלל החשבונות, כאשר החשבון האחרון שבהם נסגר בחודש מרץ 2014 (ראו נספחים א' עד ד' לכתב ההגנה).</w:t>
      </w:r>
    </w:p>
    <w:p w:rsidR="00927F0A" w:rsidRDefault="00927F0A" w:rsidP="00927F0A">
      <w:pPr>
        <w:pStyle w:val="ad"/>
        <w:spacing w:line="360" w:lineRule="auto"/>
        <w:jc w:val="both"/>
        <w:rPr>
          <w:rFonts w:ascii="Arial" w:hAnsi="Arial"/>
          <w:noProof w:val="0"/>
        </w:rPr>
      </w:pPr>
    </w:p>
    <w:p w:rsidR="00E0396B" w:rsidRPr="00927F0A" w:rsidRDefault="00E0396B" w:rsidP="00927F0A">
      <w:pPr>
        <w:pStyle w:val="ad"/>
        <w:numPr>
          <w:ilvl w:val="0"/>
          <w:numId w:val="3"/>
        </w:numPr>
        <w:spacing w:line="360" w:lineRule="auto"/>
        <w:jc w:val="both"/>
        <w:rPr>
          <w:rFonts w:ascii="Arial" w:hAnsi="Arial"/>
          <w:noProof w:val="0"/>
          <w:rtl/>
        </w:rPr>
      </w:pPr>
      <w:r w:rsidRPr="00927F0A">
        <w:rPr>
          <w:rFonts w:ascii="Arial" w:hAnsi="Arial"/>
          <w:noProof w:val="0"/>
          <w:rtl/>
        </w:rPr>
        <w:t xml:space="preserve">התובע תלה את יהבו והסתמך רבות על התסקיר שהוגש במסגרת תיק האפוטרופסות שהתנהל בעניינה של אמו (א"פ 7874-06-17) ואולם, גם במסגרת התסקיר הראשון שהוגש בתיק טענה הנתבעת 1 כי הוריה חסכו כספים עבור אחיה וכי גם על כספים אלה היא היתה חתומה </w:t>
      </w:r>
      <w:r w:rsidR="004F69FE">
        <w:rPr>
          <w:rFonts w:ascii="Arial" w:hAnsi="Arial"/>
          <w:b/>
          <w:bCs/>
          <w:noProof w:val="0"/>
          <w:rtl/>
        </w:rPr>
        <w:t>"עד שר</w:t>
      </w:r>
      <w:r w:rsidR="004F69FE">
        <w:rPr>
          <w:rFonts w:ascii="Arial" w:hAnsi="Arial" w:hint="cs"/>
          <w:b/>
          <w:bCs/>
          <w:noProof w:val="0"/>
          <w:rtl/>
        </w:rPr>
        <w:t>'</w:t>
      </w:r>
      <w:r w:rsidRPr="00927F0A">
        <w:rPr>
          <w:rFonts w:ascii="Arial" w:hAnsi="Arial"/>
          <w:b/>
          <w:bCs/>
          <w:noProof w:val="0"/>
          <w:rtl/>
        </w:rPr>
        <w:t xml:space="preserve"> ביקש</w:t>
      </w:r>
      <w:r w:rsidR="004F69FE">
        <w:rPr>
          <w:rFonts w:ascii="Arial" w:hAnsi="Arial"/>
          <w:b/>
          <w:bCs/>
          <w:noProof w:val="0"/>
          <w:rtl/>
        </w:rPr>
        <w:t xml:space="preserve"> להעביר כסף זה לטובת אחיינו א</w:t>
      </w:r>
      <w:r w:rsidR="004F69FE">
        <w:rPr>
          <w:rFonts w:ascii="Arial" w:hAnsi="Arial" w:hint="cs"/>
          <w:b/>
          <w:bCs/>
          <w:noProof w:val="0"/>
          <w:rtl/>
        </w:rPr>
        <w:t>'</w:t>
      </w:r>
      <w:r w:rsidRPr="00927F0A">
        <w:rPr>
          <w:rFonts w:ascii="Arial" w:hAnsi="Arial"/>
          <w:b/>
          <w:bCs/>
          <w:noProof w:val="0"/>
          <w:rtl/>
        </w:rPr>
        <w:t xml:space="preserve">" </w:t>
      </w:r>
      <w:r w:rsidR="00927F0A" w:rsidRPr="00927F0A">
        <w:rPr>
          <w:rFonts w:ascii="Arial" w:hAnsi="Arial" w:hint="cs"/>
          <w:noProof w:val="0"/>
          <w:rtl/>
        </w:rPr>
        <w:t xml:space="preserve">(ואמרה זו, המהווה לכל היותר עדות שמועה לא מבוררת, בוודאי אינה מבססת עילת תביעה) </w:t>
      </w:r>
      <w:r w:rsidRPr="00927F0A">
        <w:rPr>
          <w:rFonts w:ascii="Arial" w:hAnsi="Arial"/>
          <w:noProof w:val="0"/>
          <w:rtl/>
        </w:rPr>
        <w:t>ו</w:t>
      </w:r>
      <w:r w:rsidR="00927F0A" w:rsidRPr="00927F0A">
        <w:rPr>
          <w:rFonts w:ascii="Arial" w:hAnsi="Arial" w:hint="cs"/>
          <w:noProof w:val="0"/>
          <w:rtl/>
        </w:rPr>
        <w:t>זאת במיוחד בעת ש</w:t>
      </w:r>
      <w:r w:rsidRPr="00927F0A">
        <w:rPr>
          <w:rFonts w:ascii="Arial" w:hAnsi="Arial"/>
          <w:noProof w:val="0"/>
          <w:rtl/>
        </w:rPr>
        <w:t>בסעיף 91 לכתב הגנתה</w:t>
      </w:r>
      <w:r w:rsidR="00927F0A" w:rsidRPr="00927F0A">
        <w:rPr>
          <w:rFonts w:ascii="Arial" w:hAnsi="Arial" w:hint="cs"/>
          <w:noProof w:val="0"/>
          <w:rtl/>
        </w:rPr>
        <w:t>,</w:t>
      </w:r>
      <w:r w:rsidRPr="00927F0A">
        <w:rPr>
          <w:rFonts w:ascii="Arial" w:hAnsi="Arial"/>
          <w:noProof w:val="0"/>
          <w:rtl/>
        </w:rPr>
        <w:t xml:space="preserve"> הודתה </w:t>
      </w:r>
      <w:r w:rsidR="00927F0A" w:rsidRPr="00927F0A">
        <w:rPr>
          <w:rFonts w:ascii="Arial" w:hAnsi="Arial" w:hint="cs"/>
          <w:noProof w:val="0"/>
          <w:rtl/>
        </w:rPr>
        <w:t xml:space="preserve">התובעת </w:t>
      </w:r>
      <w:r w:rsidRPr="00927F0A">
        <w:rPr>
          <w:rFonts w:ascii="Arial" w:hAnsi="Arial"/>
          <w:noProof w:val="0"/>
          <w:rtl/>
        </w:rPr>
        <w:t>כי העבירה לאחי</w:t>
      </w:r>
      <w:r w:rsidR="004F69FE">
        <w:rPr>
          <w:rFonts w:ascii="Arial" w:hAnsi="Arial"/>
          <w:noProof w:val="0"/>
          <w:rtl/>
        </w:rPr>
        <w:t>ין א</w:t>
      </w:r>
      <w:r w:rsidR="004F69FE">
        <w:rPr>
          <w:rFonts w:ascii="Arial" w:hAnsi="Arial" w:hint="cs"/>
          <w:noProof w:val="0"/>
          <w:rtl/>
        </w:rPr>
        <w:t>'</w:t>
      </w:r>
      <w:r w:rsidRPr="00927F0A">
        <w:rPr>
          <w:rFonts w:ascii="Arial" w:hAnsi="Arial"/>
          <w:noProof w:val="0"/>
          <w:rtl/>
        </w:rPr>
        <w:t xml:space="preserve"> את הכספים וגם התובע הודה בחקירתו ביום 11.9.2023, כי כספים אלה </w:t>
      </w:r>
      <w:r w:rsidR="00927F0A" w:rsidRPr="00927F0A">
        <w:rPr>
          <w:rFonts w:ascii="Arial" w:hAnsi="Arial" w:hint="cs"/>
          <w:noProof w:val="0"/>
          <w:rtl/>
        </w:rPr>
        <w:t xml:space="preserve">התקבלו </w:t>
      </w:r>
      <w:r w:rsidRPr="00927F0A">
        <w:rPr>
          <w:rFonts w:ascii="Arial" w:hAnsi="Arial"/>
          <w:noProof w:val="0"/>
          <w:rtl/>
        </w:rPr>
        <w:t>(ראו עמ' 5 לפרוטוקול מיום 11.9.2023, שורות 14-15)</w:t>
      </w:r>
      <w:r w:rsidR="00D7582A" w:rsidRPr="00927F0A">
        <w:rPr>
          <w:rFonts w:ascii="Arial" w:hAnsi="Arial" w:hint="cs"/>
          <w:noProof w:val="0"/>
          <w:rtl/>
        </w:rPr>
        <w:t xml:space="preserve"> ומשכך לא מצאתי בדברים אלו כל ביסוס לטענת התובע</w:t>
      </w:r>
      <w:r w:rsidRPr="00927F0A">
        <w:rPr>
          <w:rFonts w:ascii="Arial" w:hAnsi="Arial"/>
          <w:noProof w:val="0"/>
          <w:rtl/>
        </w:rPr>
        <w:t>.</w:t>
      </w:r>
      <w:r w:rsidR="00927F0A" w:rsidRPr="00927F0A">
        <w:rPr>
          <w:rFonts w:ascii="Arial" w:hAnsi="Arial" w:hint="cs"/>
          <w:noProof w:val="0"/>
          <w:rtl/>
        </w:rPr>
        <w:t xml:space="preserve"> ההפך הוא הנכון.</w:t>
      </w:r>
    </w:p>
    <w:p w:rsidR="00E0396B" w:rsidRDefault="00E0396B" w:rsidP="00E0396B">
      <w:pPr>
        <w:spacing w:line="360" w:lineRule="auto"/>
        <w:ind w:left="720" w:hanging="720"/>
        <w:jc w:val="both"/>
        <w:rPr>
          <w:rFonts w:ascii="Arial" w:hAnsi="Arial"/>
          <w:noProof w:val="0"/>
          <w:rtl/>
        </w:rPr>
      </w:pPr>
    </w:p>
    <w:p w:rsidR="00E0396B" w:rsidRDefault="00E0396B" w:rsidP="00D7582A">
      <w:pPr>
        <w:spacing w:line="360" w:lineRule="auto"/>
        <w:ind w:left="720"/>
        <w:jc w:val="both"/>
        <w:rPr>
          <w:rFonts w:ascii="Arial" w:hAnsi="Arial"/>
          <w:noProof w:val="0"/>
          <w:rtl/>
        </w:rPr>
      </w:pPr>
      <w:r>
        <w:rPr>
          <w:rFonts w:ascii="Arial" w:hAnsi="Arial"/>
          <w:noProof w:val="0"/>
          <w:rtl/>
        </w:rPr>
        <w:t xml:space="preserve">עדותו של התובע בדיון מיום 11.9.2023, בה סיפר כי נודע לו על הכספים רק באפריל 2017, לא הותירה רושם מהימן. עדות זו אינה מתיישבת עם מכלול </w:t>
      </w:r>
      <w:r w:rsidR="00D7582A">
        <w:rPr>
          <w:rFonts w:ascii="Arial" w:hAnsi="Arial" w:hint="cs"/>
          <w:noProof w:val="0"/>
          <w:rtl/>
        </w:rPr>
        <w:t>המסמכים והטענות שצורפו לכתבי הטענות</w:t>
      </w:r>
      <w:r>
        <w:rPr>
          <w:rFonts w:ascii="Arial" w:hAnsi="Arial"/>
          <w:noProof w:val="0"/>
          <w:rtl/>
        </w:rPr>
        <w:t xml:space="preserve">, מהם עולה כי המידע היה ידוע לתובע זמן רב קודם לכן. </w:t>
      </w:r>
    </w:p>
    <w:p w:rsidR="00E0396B" w:rsidRDefault="00E0396B" w:rsidP="00E0396B">
      <w:pPr>
        <w:spacing w:line="360" w:lineRule="auto"/>
        <w:ind w:left="720"/>
        <w:jc w:val="both"/>
        <w:rPr>
          <w:rFonts w:ascii="Arial" w:hAnsi="Arial"/>
          <w:noProof w:val="0"/>
          <w:rtl/>
        </w:rPr>
      </w:pPr>
    </w:p>
    <w:p w:rsidR="00E0396B" w:rsidRDefault="00E0396B" w:rsidP="00E0396B">
      <w:pPr>
        <w:spacing w:line="360" w:lineRule="auto"/>
        <w:ind w:left="720"/>
        <w:jc w:val="both"/>
        <w:rPr>
          <w:rFonts w:ascii="Arial" w:hAnsi="Arial"/>
          <w:noProof w:val="0"/>
          <w:rtl/>
        </w:rPr>
      </w:pPr>
      <w:r>
        <w:rPr>
          <w:rFonts w:ascii="Arial" w:hAnsi="Arial"/>
          <w:noProof w:val="0"/>
          <w:rtl/>
        </w:rPr>
        <w:t>כאמור לעיל, הנטל להוכיח את היסודות המנויים בסעיף 8 לחוק ההתיישנות מוטל על התובע והתובע לא עמד בנטל זה.</w:t>
      </w:r>
    </w:p>
    <w:p w:rsidR="00E0396B" w:rsidRDefault="00E0396B" w:rsidP="00E0396B">
      <w:pPr>
        <w:spacing w:line="360" w:lineRule="auto"/>
        <w:ind w:left="720" w:hanging="720"/>
        <w:jc w:val="both"/>
        <w:rPr>
          <w:rFonts w:ascii="Arial" w:hAnsi="Arial"/>
          <w:noProof w:val="0"/>
          <w:rtl/>
        </w:rPr>
      </w:pPr>
    </w:p>
    <w:p w:rsidR="00927F0A" w:rsidRDefault="00927F0A" w:rsidP="00E0396B">
      <w:pPr>
        <w:spacing w:line="360" w:lineRule="auto"/>
        <w:ind w:left="720" w:hanging="720"/>
        <w:jc w:val="both"/>
        <w:rPr>
          <w:rFonts w:ascii="Arial" w:hAnsi="Arial"/>
          <w:noProof w:val="0"/>
          <w:rtl/>
        </w:rPr>
      </w:pPr>
    </w:p>
    <w:p w:rsidR="00E0396B" w:rsidRDefault="00E0396B" w:rsidP="00E0396B">
      <w:pPr>
        <w:spacing w:line="360" w:lineRule="auto"/>
        <w:jc w:val="both"/>
        <w:rPr>
          <w:rFonts w:ascii="Arial" w:hAnsi="Arial"/>
          <w:b/>
          <w:bCs/>
          <w:noProof w:val="0"/>
          <w:u w:val="single"/>
          <w:rtl/>
        </w:rPr>
      </w:pPr>
      <w:r>
        <w:rPr>
          <w:rFonts w:ascii="Arial" w:hAnsi="Arial"/>
          <w:b/>
          <w:bCs/>
          <w:noProof w:val="0"/>
          <w:u w:val="single"/>
          <w:rtl/>
        </w:rPr>
        <w:t>סוף דבר</w:t>
      </w:r>
    </w:p>
    <w:p w:rsidR="00E0396B" w:rsidRDefault="00E0396B" w:rsidP="00E0396B">
      <w:pPr>
        <w:pStyle w:val="ad"/>
        <w:spacing w:line="360" w:lineRule="auto"/>
        <w:jc w:val="both"/>
        <w:rPr>
          <w:rFonts w:ascii="Arial" w:hAnsi="Arial"/>
          <w:noProof w:val="0"/>
          <w:rtl/>
        </w:rPr>
      </w:pPr>
    </w:p>
    <w:p w:rsidR="00E0396B" w:rsidRDefault="00E0396B" w:rsidP="00927F0A">
      <w:pPr>
        <w:pStyle w:val="ad"/>
        <w:numPr>
          <w:ilvl w:val="0"/>
          <w:numId w:val="3"/>
        </w:numPr>
        <w:spacing w:line="360" w:lineRule="auto"/>
        <w:jc w:val="both"/>
        <w:rPr>
          <w:rFonts w:ascii="Arial" w:hAnsi="Arial" w:cs="Arial"/>
          <w:noProof w:val="0"/>
          <w:rtl/>
        </w:rPr>
      </w:pPr>
      <w:r>
        <w:rPr>
          <w:noProof w:val="0"/>
          <w:rtl/>
        </w:rPr>
        <w:t>נוכח האמור לעיל, מצאתי כי במקרה דנא נוטה הכף אל עבר דחיית התביעה על הסף</w:t>
      </w:r>
      <w:r w:rsidR="00927F0A">
        <w:rPr>
          <w:rFonts w:hint="cs"/>
          <w:noProof w:val="0"/>
          <w:rtl/>
        </w:rPr>
        <w:t>, מחמת התיישנות</w:t>
      </w:r>
      <w:r>
        <w:rPr>
          <w:noProof w:val="0"/>
          <w:rtl/>
        </w:rPr>
        <w:t>.</w:t>
      </w:r>
    </w:p>
    <w:p w:rsidR="00E0396B" w:rsidRDefault="00E0396B" w:rsidP="00E0396B">
      <w:pPr>
        <w:ind w:left="720"/>
        <w:contextualSpacing/>
        <w:rPr>
          <w:rFonts w:ascii="Arial" w:hAnsi="Arial" w:cs="Arial"/>
          <w:noProof w:val="0"/>
          <w:rtl/>
        </w:rPr>
      </w:pPr>
    </w:p>
    <w:p w:rsidR="00E0396B" w:rsidRDefault="00E0396B" w:rsidP="00927F0A">
      <w:pPr>
        <w:numPr>
          <w:ilvl w:val="0"/>
          <w:numId w:val="3"/>
        </w:numPr>
        <w:spacing w:line="360" w:lineRule="auto"/>
        <w:jc w:val="both"/>
        <w:rPr>
          <w:noProof w:val="0"/>
        </w:rPr>
      </w:pPr>
      <w:r>
        <w:rPr>
          <w:noProof w:val="0"/>
          <w:rtl/>
        </w:rPr>
        <w:t>לפיכך, אני מורה על דחיית התובענה.</w:t>
      </w:r>
    </w:p>
    <w:p w:rsidR="00E0396B" w:rsidRDefault="00E0396B" w:rsidP="00E0396B">
      <w:pPr>
        <w:spacing w:line="360" w:lineRule="auto"/>
        <w:ind w:left="1080"/>
        <w:contextualSpacing/>
        <w:jc w:val="both"/>
        <w:rPr>
          <w:rFonts w:ascii="Arial" w:hAnsi="Arial" w:cs="Arial"/>
          <w:noProof w:val="0"/>
        </w:rPr>
      </w:pPr>
    </w:p>
    <w:p w:rsidR="00E0396B" w:rsidRDefault="00E0396B" w:rsidP="00927F0A">
      <w:pPr>
        <w:numPr>
          <w:ilvl w:val="0"/>
          <w:numId w:val="3"/>
        </w:numPr>
        <w:spacing w:line="360" w:lineRule="auto"/>
        <w:jc w:val="both"/>
        <w:rPr>
          <w:rFonts w:ascii="Arial" w:hAnsi="Arial" w:cs="Arial"/>
          <w:noProof w:val="0"/>
        </w:rPr>
      </w:pPr>
      <w:r>
        <w:rPr>
          <w:noProof w:val="0"/>
          <w:rtl/>
        </w:rPr>
        <w:lastRenderedPageBreak/>
        <w:t>בהינתן כי המבקשים הגישו כתב הגנה מטעמם, מצאתי לחייב המשיב בהוצאות בסך 10,000 ₪ לטובת המבקשים.</w:t>
      </w:r>
    </w:p>
    <w:p w:rsidR="00E0396B" w:rsidRDefault="00E0396B" w:rsidP="00E0396B">
      <w:pPr>
        <w:spacing w:line="360" w:lineRule="auto"/>
        <w:ind w:left="1080"/>
        <w:contextualSpacing/>
        <w:jc w:val="both"/>
        <w:rPr>
          <w:rFonts w:ascii="Arial" w:hAnsi="Arial" w:cs="Arial"/>
          <w:noProof w:val="0"/>
        </w:rPr>
      </w:pPr>
    </w:p>
    <w:p w:rsidR="00E0396B" w:rsidRDefault="00E0396B" w:rsidP="00927F0A">
      <w:pPr>
        <w:numPr>
          <w:ilvl w:val="0"/>
          <w:numId w:val="3"/>
        </w:numPr>
        <w:spacing w:line="360" w:lineRule="auto"/>
        <w:jc w:val="both"/>
        <w:rPr>
          <w:rFonts w:ascii="Arial" w:hAnsi="Arial" w:cs="Arial"/>
          <w:noProof w:val="0"/>
        </w:rPr>
      </w:pPr>
      <w:r>
        <w:rPr>
          <w:noProof w:val="0"/>
          <w:rtl/>
        </w:rPr>
        <w:t>בזאת מסתיים ההליך שבכותרת החלטה זו.</w:t>
      </w:r>
    </w:p>
    <w:p w:rsidR="00E0396B" w:rsidRDefault="00E0396B" w:rsidP="00E0396B">
      <w:pPr>
        <w:spacing w:line="360" w:lineRule="auto"/>
        <w:ind w:left="1080"/>
        <w:contextualSpacing/>
        <w:jc w:val="both"/>
        <w:rPr>
          <w:rFonts w:ascii="Arial" w:hAnsi="Arial" w:cs="Arial"/>
          <w:noProof w:val="0"/>
          <w:rtl/>
        </w:rPr>
      </w:pPr>
    </w:p>
    <w:p w:rsidR="00E0396B" w:rsidRDefault="00E0396B" w:rsidP="00E0396B">
      <w:pPr>
        <w:spacing w:line="360" w:lineRule="auto"/>
        <w:jc w:val="both"/>
        <w:rPr>
          <w:rFonts w:ascii="Arial" w:hAnsi="Arial" w:cs="Arial"/>
          <w:noProof w:val="0"/>
        </w:rPr>
      </w:pPr>
      <w:r>
        <w:rPr>
          <w:noProof w:val="0"/>
          <w:rtl/>
        </w:rPr>
        <w:t>המזכירות תשלח העתק החלטתי זו לב"כ הצדדים ותסגור את התיק.</w:t>
      </w:r>
    </w:p>
    <w:p w:rsidR="00E0396B" w:rsidRDefault="00E0396B" w:rsidP="00E0396B">
      <w:pPr>
        <w:pStyle w:val="ad"/>
        <w:rPr>
          <w:rFonts w:ascii="Arial" w:hAnsi="Arial" w:cs="Arial"/>
          <w:noProof w:val="0"/>
        </w:rPr>
      </w:pPr>
    </w:p>
    <w:p w:rsidR="00E0396B" w:rsidRDefault="00E0396B" w:rsidP="00E0396B">
      <w:pPr>
        <w:spacing w:line="360" w:lineRule="auto"/>
        <w:jc w:val="both"/>
        <w:rPr>
          <w:rFonts w:ascii="Arial" w:hAnsi="Arial"/>
          <w:b/>
          <w:bCs/>
          <w:noProof w:val="0"/>
        </w:rPr>
      </w:pPr>
      <w:r>
        <w:rPr>
          <w:rFonts w:ascii="Arial" w:hAnsi="Arial"/>
          <w:b/>
          <w:bCs/>
          <w:noProof w:val="0"/>
          <w:rtl/>
        </w:rPr>
        <w:t>ההחלטה מותרת בפרסום בהשמטת פרטים מזהים ושמות הצדדים.</w:t>
      </w:r>
    </w:p>
    <w:p w:rsidR="00E0396B" w:rsidRDefault="00E0396B" w:rsidP="00E0396B"/>
    <w:p w:rsidR="00694556" w:rsidRDefault="0043502B" w:rsidP="007F4AFE">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hint="cs"/>
              <w:noProof w:val="0"/>
              <w:rtl/>
            </w:rPr>
            <w:t>כ"ח אייר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hint="cs"/>
              <w:noProof w:val="0"/>
              <w:rtl/>
            </w:rPr>
            <w:t>05 יוני 2024</w:t>
          </w:r>
        </w:sdtContent>
      </w:sdt>
      <w:r w:rsidR="00005C8B">
        <w:rPr>
          <w:rFonts w:ascii="Arial" w:hAnsi="Arial"/>
          <w:noProof w:val="0"/>
          <w:rtl/>
        </w:rPr>
        <w:t>, בהעדר הצדדים.</w:t>
      </w:r>
    </w:p>
    <w:p w:rsidR="00C43648" w:rsidRDefault="005F10A9"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84778F" w:rsidRDefault="00BD6531" w:rsidP="00595F62">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843123825"/>
        </w:sdtPr>
        <w:sdtEndPr/>
        <w:sdtContent>
          <w:r w:rsidR="00A8302F" w:rsidRPr="00A8302F">
            <w:rPr>
              <w:rFonts w:hint="cs"/>
              <w:b/>
              <w:bCs/>
              <w:rtl/>
            </w:rPr>
            <w:t>אריאל ממן, שופט</w:t>
          </w:r>
        </w:sdtContent>
      </w:sdt>
    </w:p>
    <w:p w:rsidR="0084778F" w:rsidRDefault="0084778F" w:rsidP="00595F62">
      <w:pPr>
        <w:tabs>
          <w:tab w:val="left" w:pos="2553"/>
        </w:tabs>
        <w:rPr>
          <w:rFonts w:ascii="Arial" w:hAnsi="Arial"/>
          <w:noProof w:val="0"/>
          <w:rtl/>
        </w:rPr>
      </w:pPr>
    </w:p>
    <w:sectPr w:rsidR="0084778F" w:rsidSect="006C30C5">
      <w:headerReference w:type="even" r:id="rId10"/>
      <w:headerReference w:type="default" r:id="rId11"/>
      <w:footerReference w:type="even" r:id="rId12"/>
      <w:footerReference w:type="default" r:id="rId13"/>
      <w:headerReference w:type="first" r:id="rId14"/>
      <w:footerReference w:type="first" r:id="rId15"/>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10A9" w:rsidRDefault="005F10A9">
      <w:r>
        <w:separator/>
      </w:r>
    </w:p>
  </w:endnote>
  <w:endnote w:type="continuationSeparator" w:id="0">
    <w:p w:rsidR="005F10A9" w:rsidRDefault="005F1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5114" w:rsidRDefault="0021511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071C1">
      <w:rPr>
        <w:rStyle w:val="ab"/>
        <w:rFonts w:cs="Times New Roman"/>
        <w:rtl/>
      </w:rPr>
      <w:t>13</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071C1">
      <w:rPr>
        <w:rStyle w:val="ab"/>
        <w:rtl/>
      </w:rPr>
      <w:t>13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5114" w:rsidRDefault="0021511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10A9" w:rsidRDefault="005F10A9">
      <w:r>
        <w:separator/>
      </w:r>
    </w:p>
  </w:footnote>
  <w:footnote w:type="continuationSeparator" w:id="0">
    <w:p w:rsidR="005F10A9" w:rsidRDefault="005F10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5114" w:rsidRDefault="0021511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5F10A9" w:rsidP="007D45E3">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תמ"ש</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40083-02-23</w:t>
              </w:r>
            </w:sdtContent>
          </w:sdt>
          <w:r w:rsidR="00005C8B">
            <w:rPr>
              <w:b/>
              <w:bCs/>
              <w:noProof w:val="0"/>
              <w:sz w:val="26"/>
              <w:szCs w:val="26"/>
              <w:rtl/>
            </w:rPr>
            <w:t xml:space="preserve"> </w:t>
          </w:r>
          <w:sdt>
            <w:sdtPr>
              <w:rPr>
                <w:rtl/>
              </w:rPr>
              <w:alias w:val="1172"/>
              <w:tag w:val="1172"/>
              <w:id w:val="-595170033"/>
              <w:text w:multiLine="1"/>
            </w:sdtPr>
            <w:sdtEndPr/>
            <w:sdtContent>
              <w:r w:rsidR="005B2C87">
                <w:rPr>
                  <w:b/>
                  <w:bCs/>
                  <w:noProof w:val="0"/>
                  <w:sz w:val="26"/>
                  <w:szCs w:val="26"/>
                  <w:rtl/>
                </w:rPr>
                <w:t>ב</w:t>
              </w:r>
              <w:r w:rsidR="005B2C87">
                <w:rPr>
                  <w:rFonts w:hint="cs"/>
                  <w:b/>
                  <w:bCs/>
                  <w:noProof w:val="0"/>
                  <w:sz w:val="26"/>
                  <w:szCs w:val="26"/>
                  <w:rtl/>
                </w:rPr>
                <w:t>.</w:t>
              </w:r>
              <w:r w:rsidR="005B2C87">
                <w:rPr>
                  <w:b/>
                  <w:bCs/>
                  <w:noProof w:val="0"/>
                  <w:sz w:val="26"/>
                  <w:szCs w:val="26"/>
                  <w:rtl/>
                </w:rPr>
                <w:t xml:space="preserve"> נ' </w:t>
              </w:r>
              <w:r w:rsidR="005B2C87">
                <w:rPr>
                  <w:rFonts w:hint="cs"/>
                  <w:b/>
                  <w:bCs/>
                  <w:noProof w:val="0"/>
                  <w:sz w:val="26"/>
                  <w:szCs w:val="26"/>
                  <w:rtl/>
                </w:rPr>
                <w:t>א.</w:t>
              </w:r>
              <w:r w:rsidR="00064651">
                <w:rPr>
                  <w:b/>
                  <w:bCs/>
                  <w:noProof w:val="0"/>
                  <w:sz w:val="26"/>
                  <w:szCs w:val="26"/>
                  <w:rtl/>
                </w:rPr>
                <w:t xml:space="preserve"> ואח'</w:t>
              </w:r>
            </w:sdtContent>
          </w:sdt>
        </w:p>
        <w:p w:rsidR="007D45E3" w:rsidRPr="007B7765" w:rsidRDefault="007D45E3" w:rsidP="007D45E3">
          <w:pPr>
            <w:rPr>
              <w:b/>
              <w:bCs/>
              <w:noProof w:val="0"/>
              <w:sz w:val="2"/>
              <w:szCs w:val="2"/>
              <w:rtl/>
            </w:rPr>
          </w:pPr>
        </w:p>
        <w:p w:rsidR="008D10B2" w:rsidRPr="00E1068A" w:rsidRDefault="007D45E3" w:rsidP="005B2C87">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5114" w:rsidRDefault="0021511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4B7CDD"/>
    <w:multiLevelType w:val="hybridMultilevel"/>
    <w:tmpl w:val="E6C6CD90"/>
    <w:lvl w:ilvl="0" w:tplc="79B46B96">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7153A2F"/>
    <w:multiLevelType w:val="hybridMultilevel"/>
    <w:tmpl w:val="6E204598"/>
    <w:lvl w:ilvl="0" w:tplc="4E349E5E">
      <w:start w:val="1"/>
      <w:numFmt w:val="decimal"/>
      <w:lvlText w:val="%1."/>
      <w:lvlJc w:val="left"/>
      <w:pPr>
        <w:ind w:left="720" w:hanging="360"/>
      </w:pPr>
      <w:rPr>
        <w:rFonts w:ascii="David" w:hAnsi="David" w:cs="David"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4237F8B"/>
    <w:multiLevelType w:val="hybridMultilevel"/>
    <w:tmpl w:val="4C860F0C"/>
    <w:lvl w:ilvl="0" w:tplc="4E349E5E">
      <w:start w:val="1"/>
      <w:numFmt w:val="decimal"/>
      <w:lvlText w:val="%1."/>
      <w:lvlJc w:val="left"/>
      <w:pPr>
        <w:ind w:left="720" w:hanging="360"/>
      </w:pPr>
      <w:rPr>
        <w:rFonts w:ascii="David" w:hAnsi="David" w:cs="David"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01497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014974&amp;lt;/CaseID&amp;gt;_x000d__x000a_        &amp;lt;CaseMonth&amp;gt;2&amp;lt;/CaseMonth&amp;gt;_x000d__x000a_        &amp;lt;CaseYear&amp;gt;2023&amp;lt;/CaseYear&amp;gt;_x000d__x000a_        &amp;lt;CaseNumber&amp;gt;40083&amp;lt;/CaseNumber&amp;gt;_x000d__x000a_        &amp;lt;NumeratorGroupID&amp;gt;1&amp;lt;/NumeratorGroupID&amp;gt;_x000d__x000a_        &amp;lt;CaseName&amp;gt;בלקר נ&amp;#39; אדרי ואח&amp;#39;&amp;lt;/CaseName&amp;gt;_x000d__x000a_        &amp;lt;CourtID&amp;gt;41&amp;lt;/CourtID&amp;gt;_x000d__x000a_        &amp;lt;CaseTypeID&amp;gt;15&amp;lt;/CaseTypeID&amp;gt;_x000d__x000a_        &amp;lt;CaseInterestID&amp;gt;10115&amp;lt;/CaseInterestID&amp;gt;_x000d__x000a_        &amp;lt;CaseJudgeName&amp;gt;אריאל ממן&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0083-02-23&amp;lt;/CaseDisplayIdentifier&amp;gt;_x000d__x000a_        &amp;lt;CaseTypeDesc&amp;gt;תמ&amp;quot;ש&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3-02-16T12:28:00+02:00&amp;lt;/CaseOpenDate&amp;gt;_x000d__x000a_        &amp;lt;PleaTypeID&amp;gt;4&amp;lt;/PleaTypeID&amp;gt;_x000d__x000a_        &amp;lt;CourtLevelID&amp;gt;1&amp;lt;/CourtLevelID&amp;gt;_x000d__x000a_        &amp;lt;CourtLevelCaseTypeInterestID&amp;gt;94&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בקשה מיום 7.3.24 העברה לכבוד השופט ממן בצירוף הדיסק און קי&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014974&amp;lt;/CaseID&amp;gt;_x000d__x000a_        &amp;lt;CaseMonth&amp;gt;2&amp;lt;/CaseMonth&amp;gt;_x000d__x000a_        &amp;lt;CaseYear&amp;gt;2023&amp;lt;/CaseYear&amp;gt;_x000d__x000a_        &amp;lt;CaseNumber&amp;gt;40083&amp;lt;/CaseNumber&amp;gt;_x000d__x000a_        &amp;lt;NumeratorGroupID&amp;gt;1&amp;lt;/NumeratorGroupID&amp;gt;_x000d__x000a_        &amp;lt;CaseName&amp;gt;בלקר נ&amp;#39; אדרי ואח&amp;#39;&amp;lt;/CaseName&amp;gt;_x000d__x000a_        &amp;lt;CourtID&amp;gt;41&amp;lt;/CourtID&amp;gt;_x000d__x000a_        &amp;lt;CaseTypeID&amp;gt;15&amp;lt;/CaseTypeID&amp;gt;_x000d__x000a_        &amp;lt;CaseInterestID&amp;gt;10115&amp;lt;/CaseInterestID&amp;gt;_x000d__x000a_        &amp;lt;CaseJudgeName&amp;gt;אריאל ממן&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0083-02-23&amp;lt;/CaseDisplayIdentifier&amp;gt;_x000d__x000a_        &amp;lt;CaseTypeDesc&amp;gt;תמ&amp;quot;ש&amp;lt;/CaseTypeDesc&amp;gt;_x000d__x000a_        &amp;lt;CourtDesc&amp;gt;שלום באר שבע&amp;lt;/CourtDesc&amp;gt;_x000d__x000a_        &amp;lt;CaseStageDesc&amp;gt;תיק אלקטרוני&amp;lt;/CaseStageDesc&amp;gt;_x000d__x000a_        &amp;lt;CaseNextDeterminingTask&amp;gt;257&amp;lt;/CaseNextDeterminingTask&amp;gt;_x000d__x000a_        &amp;lt;CaseOpenDate&amp;gt;2023-02-16T12:28:00+02:00&amp;lt;/CaseOpenDate&amp;gt;_x000d__x000a_        &amp;lt;PleaTypeID&amp;gt;4&amp;lt;/PleaTypeID&amp;gt;_x000d__x000a_        &amp;lt;CourtLevelID&amp;gt;1&amp;lt;/CourtLevelID&amp;gt;_x000d__x000a_        &amp;lt;CourtLevelCaseTypeInterestID&amp;gt;94&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בקשה מיום 7.3.24 העברה לכבוד השופט ממן בצירוף הדיסק און קי&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598877&amp;lt;/DecisionID&amp;gt;_x000d__x000a_        &amp;lt;DecisionNumber&amp;gt;2&amp;lt;/DecisionNumber&amp;gt;_x000d__x000a_        &amp;lt;DecisionName&amp;gt;החלטה על בקשה של נתבע 1 בקשה לדחייה על הסף הגשה חוזרת אסמכתא 16081356&amp;lt;/DecisionName&amp;gt;_x000d__x000a_        &amp;lt;DecisionStatusID&amp;gt;1&amp;lt;/DecisionStatusID&amp;gt;_x000d__x000a_        &amp;lt;DecisionStatusChangeDate&amp;gt;2024-06-04T15:25:14.407+03:00&amp;lt;/DecisionStatusChangeDate&amp;gt;_x000d__x000a_        &amp;lt;DecisionSignatureDate&amp;gt;2024-05-28T15:44:07.93+03:00&amp;lt;/DecisionSignatureDate&amp;gt;_x000d__x000a_        &amp;lt;DecisionSignatureUserID&amp;gt;036029429@GOV.IL&amp;lt;/DecisionSignatureUserID&amp;gt;_x000d__x000a_        &amp;lt;DecisionCreateDate&amp;gt;2024-05-12T14:12:01.957+03:00&amp;lt;/DecisionCreateDate&amp;gt;_x000d__x000a_        &amp;lt;DecisionChangeDate&amp;gt;2024-06-04T15:25:14.543+03:00&amp;lt;/DecisionChangeDate&amp;gt;_x000d__x000a_        &amp;lt;DecisionChangeUserID&amp;gt;03602942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273441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02942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7410208@GOV.IL&amp;lt;/DecisionCreationUserID&amp;gt;_x000d__x000a_        &amp;lt;DecisionDisplayName&amp;gt;החלטה על בקשה של נתבע 1 בקשה לדחייה על הסף הגשה חוזרת אסמכתא 16081356&amp;lt;/DecisionDisplayName&amp;gt;_x000d__x000a_        &amp;lt;IsScanned&amp;gt;false&amp;lt;/IsScanned&amp;gt;_x000d__x000a_        &amp;lt;DecisionSignatureUserName&amp;gt;אריאל מ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6&amp;lt;/DecisionNumberInCase&amp;gt;_x000d__x000a_      &amp;lt;/dt_Decision&amp;gt;_x000d__x000a_      &amp;lt;dt_DecisionCase diffgr:id=&amp;quot;dt_DecisionCase1&amp;quot; msdata:rowOrder=&amp;quot;0&amp;quot;&amp;gt;_x000d__x000a_        &amp;lt;DecisionID&amp;gt;151598877&amp;lt;/DecisionID&amp;gt;_x000d__x000a_        &amp;lt;CaseID&amp;gt;80014974&amp;lt;/CaseID&amp;gt;_x000d__x000a_        &amp;lt;IsOriginal&amp;gt;true&amp;lt;/IsOriginal&amp;gt;_x000d__x000a_        &amp;lt;IsDeleted&amp;gt;false&amp;lt;/IsDeleted&amp;gt;_x000d__x000a_        &amp;lt;CaseName&amp;gt;בלקר נ&amp;#39; אדרי ואח&amp;#39;&amp;lt;/CaseName&amp;gt;_x000d__x000a_        &amp;lt;CaseDisplayIdentifier&amp;gt;40083-02-23 תמ&amp;quot;ש&amp;lt;/CaseDisplayIdentifier&amp;gt;_x000d__x000a_      &amp;lt;/dt_DecisionCase&amp;gt;_x000d__x000a_      &amp;lt;dt_DecisionMotion diffgr:id=&amp;quot;dt_DecisionMotion1&amp;quot; msdata:rowOrder=&amp;quot;0&amp;quot;&amp;gt;_x000d__x000a_        &amp;lt;DecisionID&amp;gt;151598877&amp;lt;/DecisionID&amp;gt;_x000d__x000a_        &amp;lt;MotionID&amp;gt;105162772&amp;lt;/MotionID&amp;gt;_x000d__x000a_        &amp;lt;IsOriginalMotion&amp;gt;true&amp;lt;/IsOriginalMotion&amp;gt;_x000d__x000a_        &amp;lt;MotionName&amp;gt;בקשה של נתבע 1 בקשה לדחייה על הסף הגשה חוזרת אסמכתא 16081356&amp;lt;/MotionName&amp;gt;_x000d__x000a_        &amp;lt;MotionOpenDate&amp;gt;2023-05-14T16:07:14.333+03:00&amp;lt;/MotionOpenDate&amp;gt;_x000d__x000a_        &amp;lt;CaseID&amp;gt;80014974&amp;lt;/CaseID&amp;gt;_x000d__x000a_        &amp;lt;CaseDisplayIdentifier&amp;gt;40083-02-23 תמ&amp;quot;ש&amp;lt;/CaseDisplayIdentifier&amp;gt;_x000d__x000a_        &amp;lt;ProcessNumber&amp;gt;2&amp;lt;/ProcessNumber&amp;gt;_x000d__x000a_        &amp;lt;ListOfProcessIds&amp;gt;2&amp;lt;/ListOfProcessIds&amp;gt;_x000d__x000a_      &amp;lt;/dt_DecisionMotion&amp;gt;_x000d__x000a_    &amp;lt;/DecisionDS&amp;gt;_x000d__x000a_  &amp;lt;/diffgr:diffgram&amp;gt;_x000d__x000a_&amp;lt;/DecisionDS&amp;gt;"/>
    <w:docVar w:name="DecisionID" w:val="151598877"/>
    <w:docVar w:name="WordClientAssemblyName" w:val="NGCS.Decision.ClientWordBL"/>
    <w:docVar w:name="WordClientClassName" w:val="NGCS.Decision.ClientWordBL.DecisionClient"/>
  </w:docVars>
  <w:rsids>
    <w:rsidRoot w:val="00694556"/>
    <w:rsid w:val="00000062"/>
    <w:rsid w:val="0000226B"/>
    <w:rsid w:val="00005C8B"/>
    <w:rsid w:val="00007619"/>
    <w:rsid w:val="000229A1"/>
    <w:rsid w:val="00027948"/>
    <w:rsid w:val="000309CD"/>
    <w:rsid w:val="000529D2"/>
    <w:rsid w:val="000564AB"/>
    <w:rsid w:val="00064651"/>
    <w:rsid w:val="00064FBD"/>
    <w:rsid w:val="000748B3"/>
    <w:rsid w:val="00082AB2"/>
    <w:rsid w:val="000906FE"/>
    <w:rsid w:val="00090A31"/>
    <w:rsid w:val="00096AF7"/>
    <w:rsid w:val="000B344B"/>
    <w:rsid w:val="000B67F8"/>
    <w:rsid w:val="000C3B0F"/>
    <w:rsid w:val="000C3B60"/>
    <w:rsid w:val="000D3B8F"/>
    <w:rsid w:val="000D668E"/>
    <w:rsid w:val="000E0DD2"/>
    <w:rsid w:val="000E3AF1"/>
    <w:rsid w:val="000E57D9"/>
    <w:rsid w:val="000F0BC8"/>
    <w:rsid w:val="000F0DD6"/>
    <w:rsid w:val="00103993"/>
    <w:rsid w:val="00107E6D"/>
    <w:rsid w:val="0011194C"/>
    <w:rsid w:val="0011424C"/>
    <w:rsid w:val="001173C6"/>
    <w:rsid w:val="001367BC"/>
    <w:rsid w:val="00144D2A"/>
    <w:rsid w:val="0014653E"/>
    <w:rsid w:val="00156BD5"/>
    <w:rsid w:val="00165922"/>
    <w:rsid w:val="00180519"/>
    <w:rsid w:val="00180866"/>
    <w:rsid w:val="00191C82"/>
    <w:rsid w:val="001C4003"/>
    <w:rsid w:val="001D4DBF"/>
    <w:rsid w:val="001E75CA"/>
    <w:rsid w:val="00215114"/>
    <w:rsid w:val="002156DE"/>
    <w:rsid w:val="00215C8A"/>
    <w:rsid w:val="002265FF"/>
    <w:rsid w:val="00234943"/>
    <w:rsid w:val="00250FE8"/>
    <w:rsid w:val="00271B56"/>
    <w:rsid w:val="00276783"/>
    <w:rsid w:val="0028443A"/>
    <w:rsid w:val="00292DF2"/>
    <w:rsid w:val="002B284B"/>
    <w:rsid w:val="002C0603"/>
    <w:rsid w:val="002C344E"/>
    <w:rsid w:val="002C3F4A"/>
    <w:rsid w:val="002D033A"/>
    <w:rsid w:val="002E62A0"/>
    <w:rsid w:val="002E75E9"/>
    <w:rsid w:val="00307A6A"/>
    <w:rsid w:val="00307C40"/>
    <w:rsid w:val="00320433"/>
    <w:rsid w:val="00323082"/>
    <w:rsid w:val="003230C7"/>
    <w:rsid w:val="00324F61"/>
    <w:rsid w:val="00327E50"/>
    <w:rsid w:val="0033597A"/>
    <w:rsid w:val="00343D89"/>
    <w:rsid w:val="00362612"/>
    <w:rsid w:val="0036743F"/>
    <w:rsid w:val="003715DD"/>
    <w:rsid w:val="003823E0"/>
    <w:rsid w:val="003A4521"/>
    <w:rsid w:val="003C0BA4"/>
    <w:rsid w:val="003D1C8C"/>
    <w:rsid w:val="003D638C"/>
    <w:rsid w:val="003E65FD"/>
    <w:rsid w:val="003E6916"/>
    <w:rsid w:val="0040096C"/>
    <w:rsid w:val="00401D54"/>
    <w:rsid w:val="004069EB"/>
    <w:rsid w:val="004071C1"/>
    <w:rsid w:val="00414F1F"/>
    <w:rsid w:val="0043125D"/>
    <w:rsid w:val="0043502B"/>
    <w:rsid w:val="004443AC"/>
    <w:rsid w:val="00444B02"/>
    <w:rsid w:val="00451E28"/>
    <w:rsid w:val="00457310"/>
    <w:rsid w:val="00462C62"/>
    <w:rsid w:val="00465D36"/>
    <w:rsid w:val="0048306A"/>
    <w:rsid w:val="004C17EE"/>
    <w:rsid w:val="004C4BDF"/>
    <w:rsid w:val="004D1187"/>
    <w:rsid w:val="004D3AA0"/>
    <w:rsid w:val="004E1987"/>
    <w:rsid w:val="004E2E15"/>
    <w:rsid w:val="004E6E3C"/>
    <w:rsid w:val="004F69FE"/>
    <w:rsid w:val="00520898"/>
    <w:rsid w:val="00523621"/>
    <w:rsid w:val="00524986"/>
    <w:rsid w:val="005268F6"/>
    <w:rsid w:val="00534284"/>
    <w:rsid w:val="00547DB7"/>
    <w:rsid w:val="005563F0"/>
    <w:rsid w:val="00560D41"/>
    <w:rsid w:val="005747F3"/>
    <w:rsid w:val="00592CA9"/>
    <w:rsid w:val="00595F62"/>
    <w:rsid w:val="005B2C87"/>
    <w:rsid w:val="005D75C0"/>
    <w:rsid w:val="005F10A9"/>
    <w:rsid w:val="005F4F09"/>
    <w:rsid w:val="0061431B"/>
    <w:rsid w:val="00622BAA"/>
    <w:rsid w:val="006306CF"/>
    <w:rsid w:val="00644E9A"/>
    <w:rsid w:val="00646883"/>
    <w:rsid w:val="00671BD5"/>
    <w:rsid w:val="006805C1"/>
    <w:rsid w:val="00686C21"/>
    <w:rsid w:val="006931C1"/>
    <w:rsid w:val="00694556"/>
    <w:rsid w:val="006C30C5"/>
    <w:rsid w:val="006C4820"/>
    <w:rsid w:val="006D2223"/>
    <w:rsid w:val="006D3B31"/>
    <w:rsid w:val="006E0D96"/>
    <w:rsid w:val="006E1A53"/>
    <w:rsid w:val="006F56E6"/>
    <w:rsid w:val="00701B74"/>
    <w:rsid w:val="00702DF9"/>
    <w:rsid w:val="00704EDA"/>
    <w:rsid w:val="0071008A"/>
    <w:rsid w:val="00721122"/>
    <w:rsid w:val="00726146"/>
    <w:rsid w:val="00753019"/>
    <w:rsid w:val="00754801"/>
    <w:rsid w:val="00761441"/>
    <w:rsid w:val="00795365"/>
    <w:rsid w:val="007A351D"/>
    <w:rsid w:val="007B7716"/>
    <w:rsid w:val="007B7765"/>
    <w:rsid w:val="007C5BDD"/>
    <w:rsid w:val="007D45E3"/>
    <w:rsid w:val="007E6115"/>
    <w:rsid w:val="007F4609"/>
    <w:rsid w:val="007F4AFE"/>
    <w:rsid w:val="007F7D75"/>
    <w:rsid w:val="008037E9"/>
    <w:rsid w:val="00814468"/>
    <w:rsid w:val="008176A1"/>
    <w:rsid w:val="00820005"/>
    <w:rsid w:val="00844318"/>
    <w:rsid w:val="0084778F"/>
    <w:rsid w:val="00851B2A"/>
    <w:rsid w:val="0086061C"/>
    <w:rsid w:val="00863F5D"/>
    <w:rsid w:val="00870890"/>
    <w:rsid w:val="00873602"/>
    <w:rsid w:val="00875D12"/>
    <w:rsid w:val="00881CCE"/>
    <w:rsid w:val="0088479D"/>
    <w:rsid w:val="00896889"/>
    <w:rsid w:val="00897DAF"/>
    <w:rsid w:val="008A12E0"/>
    <w:rsid w:val="008C5714"/>
    <w:rsid w:val="008D10B2"/>
    <w:rsid w:val="008D1C1D"/>
    <w:rsid w:val="008D59D4"/>
    <w:rsid w:val="008F15CC"/>
    <w:rsid w:val="00903896"/>
    <w:rsid w:val="00906F3D"/>
    <w:rsid w:val="00927F0A"/>
    <w:rsid w:val="00941F87"/>
    <w:rsid w:val="0094424E"/>
    <w:rsid w:val="00955642"/>
    <w:rsid w:val="00955F08"/>
    <w:rsid w:val="009622DF"/>
    <w:rsid w:val="0096493F"/>
    <w:rsid w:val="00967DFF"/>
    <w:rsid w:val="00970A4C"/>
    <w:rsid w:val="00991EFA"/>
    <w:rsid w:val="00994341"/>
    <w:rsid w:val="00996935"/>
    <w:rsid w:val="009A4480"/>
    <w:rsid w:val="009A5FDA"/>
    <w:rsid w:val="009B0438"/>
    <w:rsid w:val="009B5F6A"/>
    <w:rsid w:val="009C038E"/>
    <w:rsid w:val="009D1A48"/>
    <w:rsid w:val="009E1CE7"/>
    <w:rsid w:val="009E4EA5"/>
    <w:rsid w:val="009F164B"/>
    <w:rsid w:val="009F323C"/>
    <w:rsid w:val="00A3392B"/>
    <w:rsid w:val="00A47413"/>
    <w:rsid w:val="00A768B8"/>
    <w:rsid w:val="00A8302F"/>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03396"/>
    <w:rsid w:val="00B04530"/>
    <w:rsid w:val="00B06399"/>
    <w:rsid w:val="00B5356E"/>
    <w:rsid w:val="00B578D0"/>
    <w:rsid w:val="00B809AD"/>
    <w:rsid w:val="00B80CBD"/>
    <w:rsid w:val="00B823E0"/>
    <w:rsid w:val="00B86096"/>
    <w:rsid w:val="00B964D9"/>
    <w:rsid w:val="00BA0A7C"/>
    <w:rsid w:val="00BA517C"/>
    <w:rsid w:val="00BB3D05"/>
    <w:rsid w:val="00BB73BE"/>
    <w:rsid w:val="00BC2D89"/>
    <w:rsid w:val="00BD6531"/>
    <w:rsid w:val="00BE05B2"/>
    <w:rsid w:val="00BE5EA2"/>
    <w:rsid w:val="00BF1908"/>
    <w:rsid w:val="00C108DE"/>
    <w:rsid w:val="00C11134"/>
    <w:rsid w:val="00C13E9B"/>
    <w:rsid w:val="00C22D93"/>
    <w:rsid w:val="00C23458"/>
    <w:rsid w:val="00C31120"/>
    <w:rsid w:val="00C34482"/>
    <w:rsid w:val="00C43648"/>
    <w:rsid w:val="00C47821"/>
    <w:rsid w:val="00C50A9F"/>
    <w:rsid w:val="00C642FA"/>
    <w:rsid w:val="00C65504"/>
    <w:rsid w:val="00CC0C02"/>
    <w:rsid w:val="00CC7593"/>
    <w:rsid w:val="00CC7622"/>
    <w:rsid w:val="00CD608F"/>
    <w:rsid w:val="00CE16D5"/>
    <w:rsid w:val="00CE72CD"/>
    <w:rsid w:val="00CF6BB7"/>
    <w:rsid w:val="00D04AA4"/>
    <w:rsid w:val="00D229F8"/>
    <w:rsid w:val="00D27982"/>
    <w:rsid w:val="00D321C9"/>
    <w:rsid w:val="00D33B86"/>
    <w:rsid w:val="00D44968"/>
    <w:rsid w:val="00D53924"/>
    <w:rsid w:val="00D55D0C"/>
    <w:rsid w:val="00D56864"/>
    <w:rsid w:val="00D620CB"/>
    <w:rsid w:val="00D7582A"/>
    <w:rsid w:val="00D76032"/>
    <w:rsid w:val="00D93F67"/>
    <w:rsid w:val="00D96D8C"/>
    <w:rsid w:val="00DA6649"/>
    <w:rsid w:val="00DC1259"/>
    <w:rsid w:val="00DC1BD2"/>
    <w:rsid w:val="00DC2571"/>
    <w:rsid w:val="00DC487C"/>
    <w:rsid w:val="00DE1E7D"/>
    <w:rsid w:val="00DE6BF6"/>
    <w:rsid w:val="00E02D97"/>
    <w:rsid w:val="00E0396B"/>
    <w:rsid w:val="00E04E84"/>
    <w:rsid w:val="00E1068A"/>
    <w:rsid w:val="00E2146D"/>
    <w:rsid w:val="00E25884"/>
    <w:rsid w:val="00E25B55"/>
    <w:rsid w:val="00E31C2B"/>
    <w:rsid w:val="00E47871"/>
    <w:rsid w:val="00E5426A"/>
    <w:rsid w:val="00E54642"/>
    <w:rsid w:val="00E54CD9"/>
    <w:rsid w:val="00E80CBE"/>
    <w:rsid w:val="00E962E3"/>
    <w:rsid w:val="00EB6C79"/>
    <w:rsid w:val="00EC37E9"/>
    <w:rsid w:val="00EC7AEA"/>
    <w:rsid w:val="00F038D8"/>
    <w:rsid w:val="00F06995"/>
    <w:rsid w:val="00F13623"/>
    <w:rsid w:val="00F44D1D"/>
    <w:rsid w:val="00F536BA"/>
    <w:rsid w:val="00F64D1F"/>
    <w:rsid w:val="00F67486"/>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6D22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79153">
      <w:bodyDiv w:val="1"/>
      <w:marLeft w:val="0"/>
      <w:marRight w:val="0"/>
      <w:marTop w:val="0"/>
      <w:marBottom w:val="0"/>
      <w:divBdr>
        <w:top w:val="none" w:sz="0" w:space="0" w:color="auto"/>
        <w:left w:val="none" w:sz="0" w:space="0" w:color="auto"/>
        <w:bottom w:val="none" w:sz="0" w:space="0" w:color="auto"/>
        <w:right w:val="none" w:sz="0" w:space="0" w:color="auto"/>
      </w:divBdr>
    </w:div>
    <w:div w:id="48574965">
      <w:bodyDiv w:val="1"/>
      <w:marLeft w:val="0"/>
      <w:marRight w:val="0"/>
      <w:marTop w:val="0"/>
      <w:marBottom w:val="0"/>
      <w:divBdr>
        <w:top w:val="none" w:sz="0" w:space="0" w:color="auto"/>
        <w:left w:val="none" w:sz="0" w:space="0" w:color="auto"/>
        <w:bottom w:val="none" w:sz="0" w:space="0" w:color="auto"/>
        <w:right w:val="none" w:sz="0" w:space="0" w:color="auto"/>
      </w:divBdr>
    </w:div>
    <w:div w:id="406000334">
      <w:bodyDiv w:val="1"/>
      <w:marLeft w:val="0"/>
      <w:marRight w:val="0"/>
      <w:marTop w:val="0"/>
      <w:marBottom w:val="0"/>
      <w:divBdr>
        <w:top w:val="none" w:sz="0" w:space="0" w:color="auto"/>
        <w:left w:val="none" w:sz="0" w:space="0" w:color="auto"/>
        <w:bottom w:val="none" w:sz="0" w:space="0" w:color="auto"/>
        <w:right w:val="none" w:sz="0" w:space="0" w:color="auto"/>
      </w:divBdr>
    </w:div>
    <w:div w:id="667908213">
      <w:bodyDiv w:val="1"/>
      <w:marLeft w:val="0"/>
      <w:marRight w:val="0"/>
      <w:marTop w:val="0"/>
      <w:marBottom w:val="0"/>
      <w:divBdr>
        <w:top w:val="none" w:sz="0" w:space="0" w:color="auto"/>
        <w:left w:val="none" w:sz="0" w:space="0" w:color="auto"/>
        <w:bottom w:val="none" w:sz="0" w:space="0" w:color="auto"/>
        <w:right w:val="none" w:sz="0" w:space="0" w:color="auto"/>
      </w:divBdr>
    </w:div>
    <w:div w:id="128126136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30131668">
      <w:bodyDiv w:val="1"/>
      <w:marLeft w:val="0"/>
      <w:marRight w:val="0"/>
      <w:marTop w:val="0"/>
      <w:marBottom w:val="0"/>
      <w:divBdr>
        <w:top w:val="none" w:sz="0" w:space="0" w:color="auto"/>
        <w:left w:val="none" w:sz="0" w:space="0" w:color="auto"/>
        <w:bottom w:val="none" w:sz="0" w:space="0" w:color="auto"/>
        <w:right w:val="none" w:sz="0" w:space="0" w:color="auto"/>
      </w:divBdr>
    </w:div>
    <w:div w:id="1354500027">
      <w:bodyDiv w:val="1"/>
      <w:marLeft w:val="0"/>
      <w:marRight w:val="0"/>
      <w:marTop w:val="0"/>
      <w:marBottom w:val="0"/>
      <w:divBdr>
        <w:top w:val="none" w:sz="0" w:space="0" w:color="auto"/>
        <w:left w:val="none" w:sz="0" w:space="0" w:color="auto"/>
        <w:bottom w:val="none" w:sz="0" w:space="0" w:color="auto"/>
        <w:right w:val="none" w:sz="0" w:space="0" w:color="auto"/>
      </w:divBdr>
    </w:div>
    <w:div w:id="1412462288">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110295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B00CC" w:rsidP="00AB00CC">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0D618D"/>
    <w:rsid w:val="00260D81"/>
    <w:rsid w:val="002A56A9"/>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46ACB"/>
    <w:rsid w:val="00961B27"/>
    <w:rsid w:val="00990020"/>
    <w:rsid w:val="00AA7CE3"/>
    <w:rsid w:val="00AB00CC"/>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AB00CC"/>
    <w:pPr>
      <w:bidi/>
      <w:spacing w:after="0" w:line="240" w:lineRule="auto"/>
    </w:pPr>
    <w:rPr>
      <w:rFonts w:ascii="Times New Roman" w:eastAsia="Times New Roman" w:hAnsi="Times New Roman" w:cs="David"/>
      <w:noProof/>
      <w:sz w:val="24"/>
      <w:szCs w:val="24"/>
    </w:rPr>
  </w:style>
  <w:style w:type="paragraph" w:customStyle="1" w:styleId="86D37938598B45D5A2B6160B6F02F599">
    <w:name w:val="86D37938598B45D5A2B6160B6F02F599"/>
    <w:rsid w:val="00AB00CC"/>
    <w:pPr>
      <w:bidi/>
      <w:spacing w:after="160" w:line="259" w:lineRule="auto"/>
    </w:pPr>
  </w:style>
  <w:style w:type="paragraph" w:customStyle="1" w:styleId="DAFE3D41807F4FA6B064F2744FA2D36D">
    <w:name w:val="DAFE3D41807F4FA6B064F2744FA2D36D"/>
    <w:rsid w:val="00AB00CC"/>
    <w:pPr>
      <w:bidi/>
      <w:spacing w:after="160" w:line="259" w:lineRule="auto"/>
    </w:pPr>
  </w:style>
  <w:style w:type="paragraph" w:customStyle="1" w:styleId="21A1FE4CC7C64929A14318D130E2EDB4">
    <w:name w:val="21A1FE4CC7C64929A14318D130E2EDB4"/>
    <w:rsid w:val="00AB00CC"/>
    <w:pPr>
      <w:bidi/>
      <w:spacing w:after="160" w:line="259" w:lineRule="auto"/>
    </w:pPr>
  </w:style>
  <w:style w:type="paragraph" w:customStyle="1" w:styleId="81849D75551E4DA99485A033FEDD330D">
    <w:name w:val="81849D75551E4DA99485A033FEDD330D"/>
    <w:rsid w:val="00AB00CC"/>
    <w:pPr>
      <w:bidi/>
      <w:spacing w:after="160" w:line="259" w:lineRule="auto"/>
    </w:pPr>
  </w:style>
  <w:style w:type="paragraph" w:customStyle="1" w:styleId="16A43A56002145BC972CFF69AA38FF9C">
    <w:name w:val="16A43A56002145BC972CFF69AA38FF9C"/>
    <w:rsid w:val="00AB00CC"/>
    <w:pPr>
      <w:bidi/>
      <w:spacing w:after="160" w:line="259" w:lineRule="auto"/>
    </w:pPr>
  </w:style>
  <w:style w:type="paragraph" w:customStyle="1" w:styleId="F76B074E402E4B01B83CC7B59A87810F">
    <w:name w:val="F76B074E402E4B01B83CC7B59A87810F"/>
    <w:rsid w:val="00AB00CC"/>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80014974</CaseID>
    <CaseJudicialPersonPresentationDS>
      <CaseJudicalPersonActive>
        <CaseID>80014974</CaseID>
        <MotionID>105162772</MotionID>
        <JudicialPersonID>036029429@GOV.IL</JudicialPersonID>
        <JudicialPersonTypeID>1</JudicialPersonTypeID>
        <JudicialTypeID>1</JudicialTypeID>
        <IsChairman>false</IsChairman>
        <TreatmentStartDate>2023-05-14T16:07:14.38+03:00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אלדד אופק</FullName>
        <FirstName>אלדד</FirstName>
        <LastName>אופק</LastName>
        <PartyPropertyName/>
        <AuthenticationTypeAndNumber>מ.ר. 51151</AuthenticationTypeAndNumber>
        <RepresentatedOrRepresentativesNames>אסתר מיכל אדרי, דניאל אדרי</RepresentatedOrRepresentativesNames>
        <RepresentatedOrRepresentativesCount>2</RepresentatedOrRepresentativesCount>
        <InvitedBy/>
        <CaseID>80014974</CaseID>
        <CaseJudicialPersonPresentationDS>
          <CaseJudicalPersonActive>
            <CaseID>80014974</CaseID>
            <MotionID>105162772</MotionID>
            <JudicialPersonID>036029429@GOV.IL</JudicialPersonID>
            <JudicialPersonTypeID>1</JudicialPersonTypeID>
            <JudicialTypeID>1</JudicialTypeID>
            <IsChairman>false</IsChairman>
            <TreatmentStartDate>2023-05-14T16:07:14.38+03:00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254377000</CasePartyID>
        <PartyTypeID>2</PartyTypeID>
        <ActivityStatusID>1</ActivityStatusID>
        <PartyAliasID>21</PartyAliasID>
        <PartyAliasName>בא כוח נתבעים</PartyAliasName>
        <LegalEntityID>15873113</LegalEntityID>
        <CaseLegalEntityID>123948724</CaseLegalEntityID>
        <AuthenticationTypeID>4</AuthenticationTypeID>
        <AuthenticationTypeName>מ.ר.</AuthenticationTypeName>
        <LegalEntityNumber>51151</LegalEntityNumber>
        <IsMainPartyType>true</IsMainPartyType>
        <CaseDisplayIdentifier>40083-02-23</CaseDisplayIdentifier>
        <CaseTypeID>15</CaseTypeID>
        <CaseTypeName>תיק משפחה (תמ"ש)</CaseTypeName>
        <CaseName>בלקר נ' אדרי ואח'</CaseName>
        <FullAddress>עזרא ונחמיה 243/7 דימונה </FullAddress>
        <EmailAddress>office@ofekadv.co.il</EmailAddress>
        <MotionID>0</MotionID>
        <CasePleaID>0</CasePleaID>
        <LinkedCaseID>0</LinkedCaseID>
        <PartyID>2</PartyID>
        <CasePartyCategoryID>2</CasePartyCategoryID>
        <LegalEntityAddressID>76429505</LegalEntityAddressID>
        <LegalEntityEmailAddressID>67943145</LegalEntityEmailAddressID>
        <PleaTypeID>4</PleaTypeID>
        <LawyerOfficeName>משרד עו"ד אלדד אופק</LawyerOfficeName>
        <LawyerOfficeID>15873114</LawyerOfficeID>
        <GroupPartyAlias/>
        <IsConverted>false</IsConverted>
        <LegalEntityNameID>17520210</LegalEntityNameID>
        <RepresentatedNamesOfAssistant/>
        <LegalEntityTypeID>4</LegalEntityTypeID>
        <IsVerdictExists>false</IsVerdictExists>
        <IsAsirAzir>false</IsAsirAzir>
        <IsPublicationProhibited>false</IsPublicationProhibited>
        <PublicationProhibitedFullName>אלדד אופק</PublicationProhibitedFullName>
      </CaseParties>
      <CaseParties>
        <PartyTypeName>צד</PartyTypeName>
        <ProceedingType>בקשות</ProceedingType>
        <PleaName>בקשה של נתבע 1 בקשה לדחייה על הסף הגשה חוזרת אסמכתא 16081356</PleaName>
        <PartyBelonging>צד א'</PartyBelonging>
        <RoleName>מבקש 1</RoleName>
        <IsSubProceeding>TRUE</IsSubProceeding>
        <FullName>אסתר מיכל אדרי</FullName>
        <FirstName>אסתר מיכל</FirstName>
        <LastName>אדרי</LastName>
        <PartyPropertyName/>
        <AuthenticationTypeAndNumber>ת"ז 055688733</AuthenticationTypeAndNumber>
        <RepresentatedOrRepresentativesNames>אלדד אופק</RepresentatedOrRepresentativesNames>
        <RepresentatedOrRepresentativesCount>1</RepresentatedOrRepresentativesCount>
        <InvitedBy/>
        <CaseID>80014974</CaseID>
        <CaseJudicialPersonPresentationDS>
          <CaseJudicalPersonActive>
            <CaseID>80014974</CaseID>
            <MotionID>105162772</MotionID>
            <JudicialPersonID>036029429@GOV.IL</JudicialPersonID>
            <JudicialPersonTypeID>1</JudicialPersonTypeID>
            <JudicialTypeID>1</JudicialTypeID>
            <IsChairman>false</IsChairman>
            <TreatmentStartDate>2023-05-14T16:07:14.38+03:00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255616826</CasePartyID>
        <PartyTypeID>1</PartyTypeID>
        <ActivityStatusID>1</ActivityStatusID>
        <PartyAliasID>3</PartyAliasID>
        <PartyAliasName>מבקש</PartyAliasName>
        <OrdinalNumber>1</OrdinalNumber>
        <LegalEntityID>73851300</LegalEntityID>
        <CaseLegalEntityID>123241604</CaseLegalEntityID>
        <AuthenticationTypeID>1</AuthenticationTypeID>
        <AuthenticationTypeName>ת"ז</AuthenticationTypeName>
        <LegalEntityNumber>055688733</LegalEntityNumber>
        <IsMainPartyType>false</IsMainPartyType>
        <CaseDisplayIdentifier>40083-02-23</CaseDisplayIdentifier>
        <CaseTypeID>15</CaseTypeID>
        <CaseTypeName>תיק משפחה (תמ"ש)</CaseTypeName>
        <CaseName>בלקר נ' אדרי ואח'</CaseName>
        <FullAddress>דרך השלום 145/2 דימונה </FullAddress>
        <MotionID>105162772</MotionID>
        <CasePleaID>0</CasePleaID>
        <FatherName>משה</FatherName>
        <LinkedCaseID>0</LinkedCaseID>
        <PartyID>1</PartyID>
        <CasePartyCategoryID>4</CasePartyCategoryID>
        <LegalEntityAddressID>87575052</LegalEntityAddressID>
        <PleaTypeID>60</PleaTypeID>
        <GroupPartyAlias>מבקשים</GroupPartyAlias>
        <IsConverted>false</IsConverted>
        <LegalEntityRegisteredNameID>5862543</LegalEntityRegisteredNameID>
        <LegalEntityNameID>94440260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אסתר מיכל אדרי</PublicationProhibitedFullName>
      </CaseParties>
      <CaseParties>
        <PartyTypeName>צד</PartyTypeName>
        <ProceedingType>בקשות</ProceedingType>
        <PleaName>בקשה של נתבע 1 בקשה לדחייה על הסף הגשה חוזרת אסמכתא 16081356</PleaName>
        <PartyBelonging>צד ב'</PartyBelonging>
        <RoleName>משיב 1</RoleName>
        <IsSubProceeding>TRUE</IsSubProceeding>
        <FullName>רוני בלקר</FullName>
        <FirstName>רוני</FirstName>
        <LastName>בלקר</LastName>
        <PartyPropertyName/>
        <AuthenticationTypeAndNumber>ת"ז 023675648</AuthenticationTypeAndNumber>
        <RepresentatedOrRepresentativesNames>ענת נוי אלקיים</RepresentatedOrRepresentativesNames>
        <RepresentatedOrRepresentativesCount>1</RepresentatedOrRepresentativesCount>
        <InvitedBy/>
        <CaseID>80014974</CaseID>
        <CaseJudicialPersonPresentationDS>
          <CaseJudicalPersonActive>
            <CaseID>80014974</CaseID>
            <MotionID>105162772</MotionID>
            <JudicialPersonID>036029429@GOV.IL</JudicialPersonID>
            <JudicialPersonTypeID>1</JudicialPersonTypeID>
            <JudicialTypeID>1</JudicialTypeID>
            <IsChairman>false</IsChairman>
            <TreatmentStartDate>2023-05-14T16:07:14.38+03:00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255616827</CasePartyID>
        <PartyTypeID>1</PartyTypeID>
        <ActivityStatusID>1</ActivityStatusID>
        <PartyAliasID>4</PartyAliasID>
        <PartyAliasName>משיב</PartyAliasName>
        <OrdinalNumber>1</OrdinalNumber>
        <LegalEntityID>73870197</LegalEntityID>
        <CaseLegalEntityID>123241602</CaseLegalEntityID>
        <AuthenticationTypeID>1</AuthenticationTypeID>
        <AuthenticationTypeName>ת"ז</AuthenticationTypeName>
        <LegalEntityNumber>023675648</LegalEntityNumber>
        <IsMainPartyType>false</IsMainPartyType>
        <CaseDisplayIdentifier>40083-02-23</CaseDisplayIdentifier>
        <CaseTypeID>15</CaseTypeID>
        <CaseTypeName>תיק משפחה (תמ"ש)</CaseTypeName>
        <CaseName>בלקר נ' אדרי ואח'</CaseName>
        <FullAddress>מרחבים 1332/11 דימונה </FullAddress>
        <MotionID>105162772</MotionID>
        <CasePleaID>0</CasePleaID>
        <FatherName>משה</FatherName>
        <LinkedCaseID>0</LinkedCaseID>
        <PartyID>2</PartyID>
        <CasePartyCategoryID>4</CasePartyCategoryID>
        <LegalEntityAddressID>87575051</LegalEntityAddressID>
        <PleaTypeID>60</PleaTypeID>
        <GroupPartyAlias>משיבים</GroupPartyAlias>
        <IsConverted>false</IsConverted>
        <LegalEntityRegisteredNameID>5862541</LegalEntityRegisteredNameID>
        <LegalEntityNameID>94440259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רוני בלקר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ענת נוי אלקיים</FullName>
        <FirstName>ענת</FirstName>
        <LastName>נוי אלקיים</LastName>
        <PartyPropertyName/>
        <AuthenticationTypeAndNumber>מ.ר. 41441</AuthenticationTypeAndNumber>
        <RepresentatedOrRepresentativesNames>רוני בלקר</RepresentatedOrRepresentativesNames>
        <RepresentatedOrRepresentativesCount>1</RepresentatedOrRepresentativesCount>
        <InvitedBy/>
        <CaseID>80014974</CaseID>
        <CaseJudicialPersonPresentationDS>
          <CaseJudicalPersonActive>
            <CaseID>80014974</CaseID>
            <MotionID>105162772</MotionID>
            <JudicialPersonID>036029429@GOV.IL</JudicialPersonID>
            <JudicialPersonTypeID>1</JudicialPersonTypeID>
            <JudicialTypeID>1</JudicialTypeID>
            <IsChairman>false</IsChairman>
            <TreatmentStartDate>2023-05-14T16:07:14.38+03:00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252101256</CasePartyID>
        <PartyTypeID>2</PartyTypeID>
        <ActivityStatusID>1</ActivityStatusID>
        <PartyAliasID>20</PartyAliasID>
        <PartyAliasName>בא כוח תובעים</PartyAliasName>
        <OrdinalNumber>1</OrdinalNumber>
        <LegalEntityID>415405</LegalEntityID>
        <CaseLegalEntityID>123241603</CaseLegalEntityID>
        <AuthenticationTypeID>4</AuthenticationTypeID>
        <AuthenticationTypeName>מ.ר.</AuthenticationTypeName>
        <LegalEntityNumber>41441</LegalEntityNumber>
        <IsMainPartyType>true</IsMainPartyType>
        <CaseDisplayIdentifier>40083-02-23</CaseDisplayIdentifier>
        <CaseTypeID>15</CaseTypeID>
        <CaseTypeName>תיק משפחה (תמ"ש)</CaseTypeName>
        <CaseName>בלקר נ' אדרי ואח'</CaseName>
        <FullAddress>הרצל 32 באר שבע </FullAddress>
        <EmailAddress>plaw@plaw.co.il</EmailAddress>
        <MotionID>0</MotionID>
        <CasePleaID>0</CasePleaID>
        <LinkedCaseID>0</LinkedCaseID>
        <PartyID>1</PartyID>
        <CasePartyCategoryID>2</CasePartyCategoryID>
        <LegalEntityAddressID>82895179</LegalEntityAddressID>
        <LegalEntityEmailAddressID>68070973</LegalEntityEmailAddressID>
        <PleaTypeID>4</PleaTypeID>
        <LawyerOfficeName>משרד עו"ד: ענת נוי אלקיים</LawyerOfficeName>
        <LawyerOfficeID>456049</LawyerOfficeID>
        <GroupPartyAlias/>
        <IsConverted>false</IsConverted>
        <LegalEntityNameID>36389</LegalEntityNameID>
        <RepresentatedNamesOfAssistant/>
        <LegalEntityTypeID>4</LegalEntityTypeID>
        <IsVerdictExists>false</IsVerdictExists>
        <IsAsirAzir>false</IsAsirAzir>
        <IsPublicationProhibited>false</IsPublicationProhibited>
        <PublicationProhibitedFullName>ענת נוי אלקיים</PublicationProhibitedFullName>
      </CaseParties>
      <CaseParties>
        <PartyTypeName>צד</PartyTypeName>
        <ProceedingType>בקשות</ProceedingType>
        <PleaName>בקשה של נתבע 1 בקשה לדחייה על הסף הגשה חוזרת אסמכתא 16081356</PleaName>
        <PartyBelonging>צד ב'</PartyBelonging>
        <RoleName>משיב 2</RoleName>
        <IsSubProceeding>TRUE</IsSubProceeding>
        <FullName>דניאל אדרי</FullName>
        <FirstName>דניאל</FirstName>
        <LastName>אדרי</LastName>
        <PartyPropertyName/>
        <AuthenticationTypeAndNumber>ת"ז </AuthenticationTypeAndNumber>
        <RepresentatedOrRepresentativesNames>אלדד אופק</RepresentatedOrRepresentativesNames>
        <RepresentatedOrRepresentativesCount>1</RepresentatedOrRepresentativesCount>
        <InvitedBy/>
        <CaseID>80014974</CaseID>
        <CaseJudicialPersonPresentationDS>
          <CaseJudicalPersonActive>
            <CaseID>80014974</CaseID>
            <MotionID>105162772</MotionID>
            <JudicialPersonID>036029429@GOV.IL</JudicialPersonID>
            <JudicialPersonTypeID>1</JudicialPersonTypeID>
            <JudicialTypeID>1</JudicialTypeID>
            <IsChairman>false</IsChairman>
            <TreatmentStartDate>2023-05-14T16:07:14.38+03:00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255616828</CasePartyID>
        <PartyTypeID>1</PartyTypeID>
        <ActivityStatusID>1</ActivityStatusID>
        <PartyAliasID>4</PartyAliasID>
        <PartyAliasName>משיב</PartyAliasName>
        <OrdinalNumber>2</OrdinalNumber>
        <LegalEntityID>81043474</LegalEntityID>
        <CaseLegalEntityID>123241605</CaseLegalEntityID>
        <AuthenticationTypeID>1</AuthenticationTypeID>
        <AuthenticationTypeName>ת"ז</AuthenticationTypeName>
        <IsMainPartyType>false</IsMainPartyType>
        <CaseDisplayIdentifier>40083-02-23</CaseDisplayIdentifier>
        <CaseTypeID>15</CaseTypeID>
        <CaseTypeName>תיק משפחה (תמ"ש)</CaseTypeName>
        <CaseName>בלקר נ' אדרי ואח'</CaseName>
        <FullAddress>דרך השלום 145/2 דימונה דרך השלום 145/2</FullAddress>
        <MotionID>105162772</MotionID>
        <CasePleaID>0</CasePleaID>
        <LinkedCaseID>0</LinkedCaseID>
        <PartyID>2</PartyID>
        <CasePartyCategoryID>4</CasePartyCategoryID>
        <LegalEntityAddressID>87575053</LegalEntityAddressID>
        <PleaTypeID>60</PleaTypeID>
        <GroupPartyAlias>משיבים</GroupPartyAlias>
        <IsConverted>false</IsConverted>
        <LegalEntityNameID>94440261</LegalEntityNameID>
        <RepresentatedNamesOfAssistant/>
        <LegalEntityTypeID>1</LegalEntityTypeID>
        <IsVerdictExists>false</IsVerdictExists>
        <IsAsirAzir>false</IsAsirAzir>
        <IsPublicationProhibited>false</IsPublicationProhibited>
        <PublicationProhibitedFullName>דניאל אדרי</PublicationProhibitedFullName>
      </CaseParties>
    </CasePartiesSelectionDS>
    <DecisionName>החלטה</DecisionName>
    <CourtDisplayName>בית משפט לענייני משפחה בבאר שבע</CourtDisplayName>
    <IsCaseJudgePanel>false</IsCaseJudgePanel>
    <DecisionSignatureDate>2024-05-12T14:06:43.5974566+03:00</DecisionSignatureDate>
    <OpenCaseDate>2023-02-16T12:28:00+02:00</OpenCaseDate>
    <CaseFeeSum>500000.000</CaseFeeSum>
    <DecisionTypeID>1</DecisionTypeID>
    <DecisionSignatureUserName>אריאל ממן</DecisionSignatureUserName>
    <MotionID>105162772</MotionID>
    <DecisionSignatureDateHebrew>2024-05-12T14:06:43.5974566+03:00</DecisionSignatureDateHebrew>
    <MotionNumber>2</MotionNumber>
    <DecisionWriterID>036029429@GOV.IL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בלקר נ' אדרי ואח'</CaseName>
    <DecisionNumberInCase>16</DecisionNumberInCase>
  </dt_Decision>
  <dt_DecisionCase>
    <DecisionID>0</DecisionID>
    <CaseID>80014974</CaseID>
    <CaseJudicialPersonPresentationDS>
      <CaseJudicalPersonActive>
        <CaseID>80014974</CaseID>
        <MotionID>105162772</MotionID>
        <JudicialPersonID>036029429@GOV.IL</JudicialPersonID>
        <JudicialPersonTypeID>1</JudicialPersonTypeID>
        <JudicialTypeID>1</JudicialTypeID>
        <IsChairman>false</IsChairman>
        <TreatmentStartDate>2023-05-14T16:07:14.38+03:00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אלדד אופק</FullName>
        <FirstName>אלדד</FirstName>
        <LastName>אופק</LastName>
        <PartyPropertyName/>
        <AuthenticationTypeAndNumber>מ.ר. 51151</AuthenticationTypeAndNumber>
        <RepresentatedOrRepresentativesNames>אסתר מיכל אדרי, דניאל אדרי</RepresentatedOrRepresentativesNames>
        <RepresentatedOrRepresentativesCount>2</RepresentatedOrRepresentativesCount>
        <InvitedBy/>
        <CaseID>80014974</CaseID>
        <CaseJudicialPersonPresentationDS>
          <CaseJudicalPersonActive>
            <CaseID>80014974</CaseID>
            <MotionID>105162772</MotionID>
            <JudicialPersonID>036029429@GOV.IL</JudicialPersonID>
            <JudicialPersonTypeID>1</JudicialPersonTypeID>
            <JudicialTypeID>1</JudicialTypeID>
            <IsChairman>false</IsChairman>
            <TreatmentStartDate>2023-05-14T16:07:14.38+03:00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254377000</CasePartyID>
        <PartyTypeID>2</PartyTypeID>
        <ActivityStatusID>1</ActivityStatusID>
        <PartyAliasID>21</PartyAliasID>
        <PartyAliasName>בא כוח נתבעים</PartyAliasName>
        <LegalEntityID>15873113</LegalEntityID>
        <CaseLegalEntityID>123948724</CaseLegalEntityID>
        <AuthenticationTypeID>4</AuthenticationTypeID>
        <AuthenticationTypeName>מ.ר.</AuthenticationTypeName>
        <LegalEntityNumber>51151</LegalEntityNumber>
        <IsMainPartyType>true</IsMainPartyType>
        <CaseDisplayIdentifier>40083-02-23</CaseDisplayIdentifier>
        <CaseTypeID>15</CaseTypeID>
        <CaseTypeName>תיק משפחה (תמ"ש)</CaseTypeName>
        <CaseName>בלקר נ' אדרי ואח'</CaseName>
        <FullAddress>עזרא ונחמיה 243/7 דימונה </FullAddress>
        <EmailAddress>office@ofekadv.co.il</EmailAddress>
        <MotionID>0</MotionID>
        <CasePleaID>0</CasePleaID>
        <LinkedCaseID>0</LinkedCaseID>
        <PartyID>2</PartyID>
        <CasePartyCategoryID>2</CasePartyCategoryID>
        <LegalEntityAddressID>76429505</LegalEntityAddressID>
        <LegalEntityEmailAddressID>67943145</LegalEntityEmailAddressID>
        <PleaTypeID>4</PleaTypeID>
        <LawyerOfficeName>משרד עו"ד אלדד אופק</LawyerOfficeName>
        <LawyerOfficeID>15873114</LawyerOfficeID>
        <GroupPartyAlias/>
        <IsConverted>false</IsConverted>
        <LegalEntityNameID>17520210</LegalEntityNameID>
        <RepresentatedNamesOfAssistant/>
        <LegalEntityTypeID>4</LegalEntityTypeID>
        <IsVerdictExists>false</IsVerdictExists>
        <IsAsirAzir>false</IsAsirAzir>
        <IsPublicationProhibited>false</IsPublicationProhibited>
        <PublicationProhibitedFullName>אלדד אופק</PublicationProhibitedFullName>
      </CaseParties>
      <CaseParties>
        <PartyTypeName>צד</PartyTypeName>
        <ProceedingType>בקשות</ProceedingType>
        <PleaName>בקשה של נתבע 1 בקשה לדחייה על הסף הגשה חוזרת אסמכתא 16081356</PleaName>
        <PartyBelonging>צד א'</PartyBelonging>
        <RoleName>מבקש 1</RoleName>
        <IsSubProceeding>TRUE</IsSubProceeding>
        <FullName>אסתר מיכל אדרי</FullName>
        <FirstName>אסתר מיכל</FirstName>
        <LastName>אדרי</LastName>
        <PartyPropertyName/>
        <AuthenticationTypeAndNumber>ת"ז 055688733</AuthenticationTypeAndNumber>
        <RepresentatedOrRepresentativesNames>אלדד אופק</RepresentatedOrRepresentativesNames>
        <RepresentatedOrRepresentativesCount>1</RepresentatedOrRepresentativesCount>
        <InvitedBy/>
        <CaseID>80014974</CaseID>
        <CaseJudicialPersonPresentationDS>
          <CaseJudicalPersonActive>
            <CaseID>80014974</CaseID>
            <MotionID>105162772</MotionID>
            <JudicialPersonID>036029429@GOV.IL</JudicialPersonID>
            <JudicialPersonTypeID>1</JudicialPersonTypeID>
            <JudicialTypeID>1</JudicialTypeID>
            <IsChairman>false</IsChairman>
            <TreatmentStartDate>2023-05-14T16:07:14.38+03:00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255616826</CasePartyID>
        <PartyTypeID>1</PartyTypeID>
        <ActivityStatusID>1</ActivityStatusID>
        <PartyAliasID>3</PartyAliasID>
        <PartyAliasName>מבקש</PartyAliasName>
        <OrdinalNumber>1</OrdinalNumber>
        <LegalEntityID>73851300</LegalEntityID>
        <CaseLegalEntityID>123241604</CaseLegalEntityID>
        <AuthenticationTypeID>1</AuthenticationTypeID>
        <AuthenticationTypeName>ת"ז</AuthenticationTypeName>
        <LegalEntityNumber>055688733</LegalEntityNumber>
        <IsMainPartyType>false</IsMainPartyType>
        <CaseDisplayIdentifier>40083-02-23</CaseDisplayIdentifier>
        <CaseTypeID>15</CaseTypeID>
        <CaseTypeName>תיק משפחה (תמ"ש)</CaseTypeName>
        <CaseName>בלקר נ' אדרי ואח'</CaseName>
        <FullAddress>דרך השלום 145/2 דימונה </FullAddress>
        <MotionID>105162772</MotionID>
        <CasePleaID>0</CasePleaID>
        <FatherName>משה</FatherName>
        <LinkedCaseID>0</LinkedCaseID>
        <PartyID>1</PartyID>
        <CasePartyCategoryID>4</CasePartyCategoryID>
        <LegalEntityAddressID>87575052</LegalEntityAddressID>
        <PleaTypeID>60</PleaTypeID>
        <GroupPartyAlias>מבקשים</GroupPartyAlias>
        <IsConverted>false</IsConverted>
        <LegalEntityRegisteredNameID>5862543</LegalEntityRegisteredNameID>
        <LegalEntityNameID>94440260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אסתר מיכל אדרי</PublicationProhibitedFullName>
      </CaseParties>
      <CaseParties>
        <PartyTypeName>צד</PartyTypeName>
        <ProceedingType>בקשות</ProceedingType>
        <PleaName>בקשה של נתבע 1 בקשה לדחייה על הסף הגשה חוזרת אסמכתא 16081356</PleaName>
        <PartyBelonging>צד ב'</PartyBelonging>
        <RoleName>משיב 1</RoleName>
        <IsSubProceeding>TRUE</IsSubProceeding>
        <FullName>רוני בלקר</FullName>
        <FirstName>רוני</FirstName>
        <LastName>בלקר</LastName>
        <PartyPropertyName/>
        <AuthenticationTypeAndNumber>ת"ז 023675648</AuthenticationTypeAndNumber>
        <RepresentatedOrRepresentativesNames>ענת נוי אלקיים</RepresentatedOrRepresentativesNames>
        <RepresentatedOrRepresentativesCount>1</RepresentatedOrRepresentativesCount>
        <InvitedBy/>
        <CaseID>80014974</CaseID>
        <CaseJudicialPersonPresentationDS>
          <CaseJudicalPersonActive>
            <CaseID>80014974</CaseID>
            <MotionID>105162772</MotionID>
            <JudicialPersonID>036029429@GOV.IL</JudicialPersonID>
            <JudicialPersonTypeID>1</JudicialPersonTypeID>
            <JudicialTypeID>1</JudicialTypeID>
            <IsChairman>false</IsChairman>
            <TreatmentStartDate>2023-05-14T16:07:14.38+03:00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255616827</CasePartyID>
        <PartyTypeID>1</PartyTypeID>
        <ActivityStatusID>1</ActivityStatusID>
        <PartyAliasID>4</PartyAliasID>
        <PartyAliasName>משיב</PartyAliasName>
        <OrdinalNumber>1</OrdinalNumber>
        <LegalEntityID>73870197</LegalEntityID>
        <CaseLegalEntityID>123241602</CaseLegalEntityID>
        <AuthenticationTypeID>1</AuthenticationTypeID>
        <AuthenticationTypeName>ת"ז</AuthenticationTypeName>
        <LegalEntityNumber>023675648</LegalEntityNumber>
        <IsMainPartyType>false</IsMainPartyType>
        <CaseDisplayIdentifier>40083-02-23</CaseDisplayIdentifier>
        <CaseTypeID>15</CaseTypeID>
        <CaseTypeName>תיק משפחה (תמ"ש)</CaseTypeName>
        <CaseName>בלקר נ' אדרי ואח'</CaseName>
        <FullAddress>מרחבים 1332/11 דימונה </FullAddress>
        <MotionID>105162772</MotionID>
        <CasePleaID>0</CasePleaID>
        <FatherName>משה</FatherName>
        <LinkedCaseID>0</LinkedCaseID>
        <PartyID>2</PartyID>
        <CasePartyCategoryID>4</CasePartyCategoryID>
        <LegalEntityAddressID>87575051</LegalEntityAddressID>
        <PleaTypeID>60</PleaTypeID>
        <GroupPartyAlias>משיבים</GroupPartyAlias>
        <IsConverted>false</IsConverted>
        <LegalEntityRegisteredNameID>5862541</LegalEntityRegisteredNameID>
        <LegalEntityNameID>94440259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רוני בלקר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ענת נוי אלקיים</FullName>
        <FirstName>ענת</FirstName>
        <LastName>נוי אלקיים</LastName>
        <PartyPropertyName/>
        <AuthenticationTypeAndNumber>מ.ר. 41441</AuthenticationTypeAndNumber>
        <RepresentatedOrRepresentativesNames>רוני בלקר</RepresentatedOrRepresentativesNames>
        <RepresentatedOrRepresentativesCount>1</RepresentatedOrRepresentativesCount>
        <InvitedBy/>
        <CaseID>80014974</CaseID>
        <CaseJudicialPersonPresentationDS>
          <CaseJudicalPersonActive>
            <CaseID>80014974</CaseID>
            <MotionID>105162772</MotionID>
            <JudicialPersonID>036029429@GOV.IL</JudicialPersonID>
            <JudicialPersonTypeID>1</JudicialPersonTypeID>
            <JudicialTypeID>1</JudicialTypeID>
            <IsChairman>false</IsChairman>
            <TreatmentStartDate>2023-05-14T16:07:14.38+03:00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252101256</CasePartyID>
        <PartyTypeID>2</PartyTypeID>
        <ActivityStatusID>1</ActivityStatusID>
        <PartyAliasID>20</PartyAliasID>
        <PartyAliasName>בא כוח תובעים</PartyAliasName>
        <OrdinalNumber>1</OrdinalNumber>
        <LegalEntityID>415405</LegalEntityID>
        <CaseLegalEntityID>123241603</CaseLegalEntityID>
        <AuthenticationTypeID>4</AuthenticationTypeID>
        <AuthenticationTypeName>מ.ר.</AuthenticationTypeName>
        <LegalEntityNumber>41441</LegalEntityNumber>
        <IsMainPartyType>true</IsMainPartyType>
        <CaseDisplayIdentifier>40083-02-23</CaseDisplayIdentifier>
        <CaseTypeID>15</CaseTypeID>
        <CaseTypeName>תיק משפחה (תמ"ש)</CaseTypeName>
        <CaseName>בלקר נ' אדרי ואח'</CaseName>
        <FullAddress>הרצל 32 באר שבע </FullAddress>
        <EmailAddress>plaw@plaw.co.il</EmailAddress>
        <MotionID>0</MotionID>
        <CasePleaID>0</CasePleaID>
        <LinkedCaseID>0</LinkedCaseID>
        <PartyID>1</PartyID>
        <CasePartyCategoryID>2</CasePartyCategoryID>
        <LegalEntityAddressID>82895179</LegalEntityAddressID>
        <LegalEntityEmailAddressID>68070973</LegalEntityEmailAddressID>
        <PleaTypeID>4</PleaTypeID>
        <LawyerOfficeName>משרד עו"ד: ענת נוי אלקיים</LawyerOfficeName>
        <LawyerOfficeID>456049</LawyerOfficeID>
        <GroupPartyAlias/>
        <IsConverted>false</IsConverted>
        <LegalEntityNameID>36389</LegalEntityNameID>
        <RepresentatedNamesOfAssistant/>
        <LegalEntityTypeID>4</LegalEntityTypeID>
        <IsVerdictExists>false</IsVerdictExists>
        <IsAsirAzir>false</IsAsirAzir>
        <IsPublicationProhibited>false</IsPublicationProhibited>
        <PublicationProhibitedFullName>ענת נוי אלקיים</PublicationProhibitedFullName>
      </CaseParties>
      <CaseParties>
        <PartyTypeName>צד</PartyTypeName>
        <ProceedingType>בקשות</ProceedingType>
        <PleaName>בקשה של נתבע 1 בקשה לדחייה על הסף הגשה חוזרת אסמכתא 16081356</PleaName>
        <PartyBelonging>צד ב'</PartyBelonging>
        <RoleName>משיב 2</RoleName>
        <IsSubProceeding>TRUE</IsSubProceeding>
        <FullName>דניאל אדרי</FullName>
        <FirstName>דניאל</FirstName>
        <LastName>אדרי</LastName>
        <PartyPropertyName/>
        <AuthenticationTypeAndNumber>ת"ז </AuthenticationTypeAndNumber>
        <RepresentatedOrRepresentativesNames>אלדד אופק</RepresentatedOrRepresentativesNames>
        <RepresentatedOrRepresentativesCount>1</RepresentatedOrRepresentativesCount>
        <InvitedBy/>
        <CaseID>80014974</CaseID>
        <CaseJudicialPersonPresentationDS>
          <CaseJudicalPersonActive>
            <CaseID>80014974</CaseID>
            <MotionID>105162772</MotionID>
            <JudicialPersonID>036029429@GOV.IL</JudicialPersonID>
            <JudicialPersonTypeID>1</JudicialPersonTypeID>
            <JudicialTypeID>1</JudicialTypeID>
            <IsChairman>false</IsChairman>
            <TreatmentStartDate>2023-05-14T16:07:14.38+03:00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255616828</CasePartyID>
        <PartyTypeID>1</PartyTypeID>
        <ActivityStatusID>1</ActivityStatusID>
        <PartyAliasID>4</PartyAliasID>
        <PartyAliasName>משיב</PartyAliasName>
        <OrdinalNumber>2</OrdinalNumber>
        <LegalEntityID>81043474</LegalEntityID>
        <CaseLegalEntityID>123241605</CaseLegalEntityID>
        <AuthenticationTypeID>1</AuthenticationTypeID>
        <AuthenticationTypeName>ת"ז</AuthenticationTypeName>
        <IsMainPartyType>false</IsMainPartyType>
        <CaseDisplayIdentifier>40083-02-23</CaseDisplayIdentifier>
        <CaseTypeID>15</CaseTypeID>
        <CaseTypeName>תיק משפחה (תמ"ש)</CaseTypeName>
        <CaseName>בלקר נ' אדרי ואח'</CaseName>
        <FullAddress>דרך השלום 145/2 דימונה דרך השלום 145/2</FullAddress>
        <MotionID>105162772</MotionID>
        <CasePleaID>0</CasePleaID>
        <LinkedCaseID>0</LinkedCaseID>
        <PartyID>2</PartyID>
        <CasePartyCategoryID>4</CasePartyCategoryID>
        <LegalEntityAddressID>87575053</LegalEntityAddressID>
        <PleaTypeID>60</PleaTypeID>
        <GroupPartyAlias>משיבים</GroupPartyAlias>
        <IsConverted>false</IsConverted>
        <LegalEntityNameID>94440261</LegalEntityNameID>
        <RepresentatedNamesOfAssistant/>
        <LegalEntityTypeID>1</LegalEntityTypeID>
        <IsVerdictExists>false</IsVerdictExists>
        <IsAsirAzir>false</IsAsirAzir>
        <IsPublicationProhibited>false</IsPublicationProhibited>
        <PublicationProhibitedFullName>דניאל אדרי</PublicationProhibitedFullName>
      </CaseParties>
    </CasePartiesSelectionDS>
    <CaseName>בלקר נ' אדרי ואח'</CaseName>
    <CaseDisplayIdentifier>40083-02-23</CaseDisplayIdentifier>
    <CaseInterestID>10115</CaseInterestID>
    <CaseTypeShortName>תמ"ש</CaseTypeShortName>
  </dt_DecisionCase>
  <dt_DecisionJudgePanel>
    <JudgeID>036029429@GOV.IL</JudgeID>
    <DisplayName>אריאל ממן</DisplayName>
    <RoleName>שופט</RoleName>
    <UserTitleName>שופט</UserTitleName>
  </dt_DecisionJudgePanel>
  <dt_LegalEntityDetails>
    <Fax>08-6555946</Fax>
    <Phone>08-6555947</Phone>
    <PartyID>2</PartyID>
    <PartyTypeID>2</PartyTypeID>
    <DecisionID>0</DecisionID>
    <StreetName>עזרא ונחמיה 243/7</StreetName>
    <ZipCode>86028</ZipCode>
    <CityName>דימונה</CityName>
    <FullName>אלדד אופק</FullName>
    <Email>office@ofekadv.co.il</Email>
    <IsPublicationProhibited>false</IsPublicationProhibited>
  </dt_LegalEntityDetails>
  <dt_LegalEntityDetails>
    <PartyID>1</PartyID>
    <PartyTypeID>1</PartyTypeID>
    <DecisionID>0</DecisionID>
    <StreetName>מרחבים 1332/11</StreetName>
    <CityName>דימונה</CityName>
    <FullName>רוני בלקר</FullName>
    <IsPublicationProhibited>false</IsPublicationProhibited>
  </dt_LegalEntityDetails>
  <dt_LegalEntityDetails>
    <Fax>077-5418503</Fax>
    <Phone>077-5418503</Phone>
    <PartyID>1</PartyID>
    <PartyTypeID>2</PartyTypeID>
    <DecisionID>0</DecisionID>
    <StreetName>הרצל 32</StreetName>
    <CityName>באר שבע</CityName>
    <FullName>ענת נוי אלקיים</FullName>
    <Email>plaw@plaw.co.il</Email>
    <IsPublicationProhibited>false</IsPublicationProhibited>
  </dt_LegalEntityDetails>
  <dt_LegalEntityDetails>
    <PartyID>2</PartyID>
    <PartyTypeID>1</PartyTypeID>
    <DecisionID>0</DecisionID>
    <StreetName>דרך השלום 145/2</StreetName>
    <CityName>דימונה</CityName>
    <FullName>אסתר מיכל אדרי</FullName>
    <IsPublicationProhibited>false</IsPublicationProhibited>
  </dt_LegalEntityDetails>
  <dt_LegalEntityDetails>
    <AddressDesc>דרך השלום 145/2</AddressDesc>
    <PartyID>2</PartyID>
    <PartyTypeID>1</PartyTypeID>
    <DecisionID>0</DecisionID>
    <StreetName>דרך השלום 145/2</StreetName>
    <CityName>דימונה</CityName>
    <FullName>דניאל אדרי</FullName>
    <IsPublicationProhibited>false</IsPublicationProhibited>
  </dt_LegalEntityDetails>
  <dt_CaseJudicalPersonActive>
    <CaseJudicalPerson>שופט אריאל ממן</CaseJudicalPerson>
  </dt_CaseJudicalPersonActive>
  <dt_Sitting>
    <PreviousMeetingDate>2023-09-11T09:00:00+03:00</PreviousMeetingDate>
    <PreviousSittingTypeID>1</PreviousSittingTypeID>
    <PreviousMeetingDisplayName>שופט אריאל ממן</PreviousMeetingDisplayName>
    <PreviousMeetingRoleName>שופט</PreviousMeetingRoleName>
    <PreviousMeetingUserTitleName>שופט</PreviousMeetingUserTitleName>
    <PreviousMeetingUserUPN>036029429@GOV.IL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70439-1368-440B-9310-F92E1808A032}">
  <ds:schemaRefs/>
</ds:datastoreItem>
</file>

<file path=customXml/itemProps2.xml><?xml version="1.0" encoding="utf-8"?>
<ds:datastoreItem xmlns:ds="http://schemas.openxmlformats.org/officeDocument/2006/customXml" ds:itemID="{8D5EF083-13ED-47A1-9FDA-DAA1E62A0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3519</Words>
  <Characters>17599</Characters>
  <Application>Microsoft Office Word</Application>
  <DocSecurity>0</DocSecurity>
  <Lines>146</Lines>
  <Paragraphs>42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21076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2024-08-18T06:29:00Z</dcterms:created>
  <dcterms:modified xsi:type="dcterms:W3CDTF">2024-08-18T06:29:00Z</dcterms:modified>
</cp:coreProperties>
</file>